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7E069" w14:textId="2F184A24" w:rsidR="00D870B2" w:rsidRPr="000C416C" w:rsidRDefault="00D870B2" w:rsidP="00D870B2">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9264"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E6C525"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850CBF">
        <w:rPr>
          <w:b/>
          <w:noProof/>
          <w:sz w:val="24"/>
          <w:lang w:val="en-US"/>
        </w:rPr>
        <w:t>2</w:t>
      </w:r>
      <w:r w:rsidRPr="000C416C">
        <w:rPr>
          <w:b/>
          <w:noProof/>
          <w:sz w:val="24"/>
          <w:lang w:val="en-US"/>
        </w:rPr>
        <w:t xml:space="preserve"> Meeting #</w:t>
      </w:r>
      <w:r w:rsidR="002364A5">
        <w:rPr>
          <w:b/>
          <w:noProof/>
          <w:sz w:val="24"/>
          <w:lang w:val="en-US"/>
        </w:rPr>
        <w:t>12</w:t>
      </w:r>
      <w:r w:rsidR="009161B2">
        <w:rPr>
          <w:b/>
          <w:noProof/>
          <w:sz w:val="24"/>
          <w:lang w:val="en-US"/>
        </w:rPr>
        <w:t>3</w:t>
      </w:r>
      <w:r w:rsidR="000C416C">
        <w:rPr>
          <w:b/>
          <w:noProof/>
          <w:sz w:val="24"/>
          <w:lang w:val="en-US"/>
        </w:rPr>
        <w:t xml:space="preserve">             </w:t>
      </w:r>
      <w:r w:rsidR="002364A5">
        <w:rPr>
          <w:b/>
          <w:noProof/>
          <w:sz w:val="24"/>
          <w:lang w:val="en-US"/>
        </w:rPr>
        <w:t xml:space="preserve">                                                </w:t>
      </w:r>
      <w:r w:rsidR="00AA2E71" w:rsidRPr="00AA2E71">
        <w:rPr>
          <w:b/>
          <w:bCs/>
          <w:noProof/>
          <w:sz w:val="24"/>
        </w:rPr>
        <w:t>R2-2308615</w:t>
      </w:r>
    </w:p>
    <w:p w14:paraId="351CA33D" w14:textId="79ACFD68" w:rsidR="00347001" w:rsidRPr="002D2634" w:rsidRDefault="009161B2" w:rsidP="00D870B2">
      <w:pPr>
        <w:tabs>
          <w:tab w:val="left" w:pos="1985"/>
        </w:tabs>
        <w:rPr>
          <w:bCs/>
          <w:i/>
          <w:iCs/>
          <w:color w:val="2F5496"/>
          <w:sz w:val="24"/>
          <w:lang w:val="pt-PT"/>
        </w:rPr>
      </w:pPr>
      <w:r>
        <w:rPr>
          <w:rFonts w:ascii="Arial" w:eastAsia="MS Mincho" w:hAnsi="Arial"/>
          <w:b/>
          <w:noProof/>
          <w:sz w:val="24"/>
        </w:rPr>
        <w:t>Toulouse, France, August 21 – 25, 2023</w:t>
      </w:r>
      <w:r w:rsidR="00410637">
        <w:rPr>
          <w:rFonts w:ascii="Arial" w:eastAsia="MS Mincho" w:hAnsi="Arial"/>
          <w:b/>
          <w:noProof/>
          <w:sz w:val="24"/>
        </w:rPr>
        <w:t xml:space="preserve">                                    </w:t>
      </w:r>
      <w:r w:rsidR="000C416C">
        <w:rPr>
          <w:rFonts w:ascii="Arial" w:eastAsia="MS Mincho" w:hAnsi="Arial"/>
          <w:b/>
          <w:noProof/>
          <w:sz w:val="24"/>
        </w:rPr>
        <w:t xml:space="preserve">           </w:t>
      </w:r>
      <w:r w:rsidR="00860820">
        <w:rPr>
          <w:rFonts w:ascii="Arial" w:eastAsia="MS Mincho" w:hAnsi="Arial"/>
          <w:b/>
          <w:noProof/>
          <w:sz w:val="24"/>
        </w:rPr>
        <w:t xml:space="preserve">  </w:t>
      </w:r>
      <w:r w:rsidR="00C65FAE">
        <w:rPr>
          <w:rFonts w:ascii="Arial" w:eastAsia="MS Mincho" w:hAnsi="Arial"/>
          <w:b/>
          <w:noProof/>
          <w:sz w:val="24"/>
        </w:rPr>
        <w:tab/>
        <w:t xml:space="preserve">    </w:t>
      </w:r>
      <w:r w:rsidR="000C416C">
        <w:rPr>
          <w:rFonts w:ascii="Arial" w:eastAsia="MS Mincho" w:hAnsi="Arial"/>
          <w:b/>
          <w:noProof/>
          <w:sz w:val="24"/>
        </w:rPr>
        <w:t xml:space="preserve"> </w:t>
      </w:r>
    </w:p>
    <w:p w14:paraId="25DAFCD2" w14:textId="5B2AAFEC"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7216"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3378ED"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9E3D1A">
        <w:rPr>
          <w:sz w:val="24"/>
          <w:lang w:val="pt-PT"/>
        </w:rPr>
        <w:t xml:space="preserve"> </w:t>
      </w:r>
      <w:r w:rsidR="009E3D1A">
        <w:rPr>
          <w:sz w:val="24"/>
          <w:lang w:val="pt-PT"/>
        </w:rPr>
        <w:tab/>
      </w:r>
      <w:r w:rsidR="00471CDE">
        <w:rPr>
          <w:sz w:val="24"/>
          <w:lang w:val="pt-PT"/>
        </w:rPr>
        <w:tab/>
      </w:r>
      <w:r w:rsidR="002B2FC5" w:rsidRPr="002B2FC5">
        <w:rPr>
          <w:sz w:val="24"/>
          <w:lang w:val="pt-PT"/>
        </w:rPr>
        <w:t>7.</w:t>
      </w:r>
      <w:r w:rsidR="00776125">
        <w:rPr>
          <w:sz w:val="24"/>
          <w:lang w:val="pt-PT"/>
        </w:rPr>
        <w:t>4</w:t>
      </w:r>
      <w:r w:rsidR="002B2FC5" w:rsidRPr="002B2FC5">
        <w:rPr>
          <w:sz w:val="24"/>
          <w:lang w:val="pt-PT"/>
        </w:rPr>
        <w:t>.2.</w:t>
      </w:r>
      <w:r w:rsidR="005829B4">
        <w:rPr>
          <w:sz w:val="24"/>
          <w:lang w:val="pt-PT"/>
        </w:rPr>
        <w:t>2</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1A057FD1"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4457702E"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5829B4">
        <w:rPr>
          <w:rFonts w:ascii="Arial" w:hAnsi="Arial"/>
          <w:sz w:val="24"/>
        </w:rPr>
        <w:t>RRC aspects of LTM</w:t>
      </w:r>
      <w:r w:rsidR="00850CBF">
        <w:rPr>
          <w:rFonts w:ascii="Arial" w:hAnsi="Arial"/>
          <w:sz w:val="24"/>
        </w:rPr>
        <w:t xml:space="preserve"> </w:t>
      </w:r>
    </w:p>
    <w:p w14:paraId="1592542F" w14:textId="43C612D2"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6F62AC">
        <w:rPr>
          <w:rFonts w:ascii="Arial" w:hAnsi="Arial"/>
          <w:sz w:val="24"/>
        </w:rPr>
        <w:t>Discussion</w:t>
      </w:r>
    </w:p>
    <w:p w14:paraId="29B441F4" w14:textId="77777777" w:rsidR="00CD4C7B" w:rsidRPr="00320A6B" w:rsidRDefault="00CD4C7B" w:rsidP="00CD4C7B">
      <w:pPr>
        <w:pStyle w:val="Heading1"/>
      </w:pPr>
      <w:r w:rsidRPr="00320A6B">
        <w:t>1</w:t>
      </w:r>
      <w:r w:rsidRPr="00320A6B">
        <w:tab/>
      </w:r>
      <w:r w:rsidR="0056573F" w:rsidRPr="00320A6B">
        <w:t>Introduction</w:t>
      </w:r>
    </w:p>
    <w:p w14:paraId="656002BD" w14:textId="4FD53386" w:rsidR="00054320" w:rsidRDefault="00054320" w:rsidP="00054320">
      <w:pPr>
        <w:spacing w:after="0"/>
      </w:pPr>
      <w:r>
        <w:t>In RAN2#122, the following agreements have been achieved [1]:</w:t>
      </w:r>
    </w:p>
    <w:p w14:paraId="2F560333" w14:textId="77777777" w:rsidR="00054320" w:rsidRDefault="00054320" w:rsidP="00054320">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54320" w14:paraId="604B737F" w14:textId="77777777" w:rsidTr="00815B58">
        <w:tc>
          <w:tcPr>
            <w:tcW w:w="9857" w:type="dxa"/>
            <w:shd w:val="clear" w:color="auto" w:fill="auto"/>
          </w:tcPr>
          <w:p w14:paraId="162D2CA8" w14:textId="6B86F034" w:rsidR="00994A4F" w:rsidRPr="00812EE4" w:rsidRDefault="00994A4F" w:rsidP="00625618">
            <w:pPr>
              <w:snapToGrid w:val="0"/>
              <w:spacing w:after="100" w:afterAutospacing="1"/>
              <w:jc w:val="both"/>
            </w:pPr>
            <w:r>
              <w:t>For L1 measurements for LTM</w:t>
            </w:r>
            <w:r w:rsidR="005B2659">
              <w:t>:</w:t>
            </w:r>
          </w:p>
          <w:p w14:paraId="5E16EDAA" w14:textId="7B3A0002" w:rsidR="00994A4F" w:rsidRDefault="00994A4F" w:rsidP="00625618">
            <w:pPr>
              <w:pStyle w:val="ListParagraph"/>
              <w:numPr>
                <w:ilvl w:val="0"/>
                <w:numId w:val="27"/>
              </w:numPr>
              <w:snapToGrid w:val="0"/>
              <w:spacing w:after="100" w:afterAutospacing="1"/>
              <w:jc w:val="both"/>
            </w:pPr>
            <w:r>
              <w:t>The RS configuration is provided to the UE per LTM candidate cell.</w:t>
            </w:r>
          </w:p>
          <w:p w14:paraId="30A87B49" w14:textId="33FA4D8D" w:rsidR="00994A4F" w:rsidRPr="00517A66" w:rsidRDefault="00994A4F" w:rsidP="00625618">
            <w:pPr>
              <w:pStyle w:val="ListParagraph"/>
              <w:numPr>
                <w:ilvl w:val="0"/>
                <w:numId w:val="27"/>
              </w:numPr>
              <w:snapToGrid w:val="0"/>
              <w:spacing w:after="100" w:afterAutospacing="1"/>
              <w:jc w:val="both"/>
            </w:pPr>
            <w:r>
              <w:t>RAN2 assumes that Each candidate DU needs to know the RS configuration of each candidate DUs in order to provide the L</w:t>
            </w:r>
            <w:r w:rsidR="00816BCA">
              <w:t>T</w:t>
            </w:r>
            <w:r>
              <w:t>M candidate configuration.</w:t>
            </w:r>
          </w:p>
          <w:p w14:paraId="4A8E61E8" w14:textId="2CC4AD7F" w:rsidR="00994A4F" w:rsidRDefault="00994A4F" w:rsidP="00625618">
            <w:pPr>
              <w:pStyle w:val="ListParagraph"/>
              <w:numPr>
                <w:ilvl w:val="0"/>
                <w:numId w:val="27"/>
              </w:numPr>
              <w:snapToGrid w:val="0"/>
              <w:spacing w:after="100" w:afterAutospacing="1"/>
              <w:jc w:val="both"/>
            </w:pPr>
            <w:r>
              <w:t>RAN2 assumes that The CU transmits to each C-DU the RS configuration of S-DU (if this is an LTM candidate cell) and/or other C-DUs, to generate the corresponding L1 configuration for LTM.</w:t>
            </w:r>
          </w:p>
          <w:p w14:paraId="534ED892" w14:textId="4A078811" w:rsidR="00994A4F" w:rsidRDefault="00994A4F" w:rsidP="00625618">
            <w:pPr>
              <w:pStyle w:val="ListParagraph"/>
              <w:numPr>
                <w:ilvl w:val="0"/>
                <w:numId w:val="27"/>
              </w:numPr>
              <w:snapToGrid w:val="0"/>
              <w:spacing w:after="100" w:afterAutospacing="1"/>
              <w:jc w:val="both"/>
            </w:pPr>
            <w:r>
              <w:t>RAN2 assumes C-DU generates the RS configuration and send to the CU. The CU transmits to the Source DU the RS configuration per LTM candidate cell and the associated LTM candidate (when the CU receives LTM candidate configuration(s) from the C-DU). It is up to RAN3 whether the RS configuration is sent before (or at the same time of) the C-DU creates the LTM candidate configuration (and whether is semi-statis or UE associated).</w:t>
            </w:r>
          </w:p>
          <w:p w14:paraId="12D74A55" w14:textId="0DAE1AD1" w:rsidR="00994A4F" w:rsidRDefault="00994A4F" w:rsidP="00625618">
            <w:pPr>
              <w:pStyle w:val="ListParagraph"/>
              <w:numPr>
                <w:ilvl w:val="0"/>
                <w:numId w:val="27"/>
              </w:numPr>
              <w:snapToGrid w:val="0"/>
              <w:spacing w:after="100" w:afterAutospacing="1"/>
              <w:jc w:val="both"/>
            </w:pPr>
            <w:r>
              <w:t xml:space="preserve">The RS configuration and/or CSI resource configuration for measuring LTM candidate cells is included in the LTM-Config IE and is a separate configuration, e.g. outside of the LTM candidate configuration. </w:t>
            </w:r>
          </w:p>
          <w:p w14:paraId="684B6AEE" w14:textId="7E91495F" w:rsidR="00994A4F" w:rsidRDefault="00994A4F" w:rsidP="00625618">
            <w:pPr>
              <w:pStyle w:val="ListParagraph"/>
              <w:numPr>
                <w:ilvl w:val="0"/>
                <w:numId w:val="27"/>
              </w:numPr>
              <w:snapToGrid w:val="0"/>
              <w:spacing w:after="100" w:afterAutospacing="1"/>
              <w:jc w:val="both"/>
            </w:pPr>
            <w:r>
              <w:t>CSI reports for LTM candidates (neighbour cell reports for the purpose of LTM cell switch) are configured by the serving cell in an IE that is like CSI-ReportConfig for LTM within the ServingCellConfig since this is</w:t>
            </w:r>
            <w:r w:rsidR="00625618">
              <w:t xml:space="preserve"> </w:t>
            </w:r>
            <w:r>
              <w:t>the cell in which the report is to be transmitted.</w:t>
            </w:r>
          </w:p>
          <w:p w14:paraId="30521450" w14:textId="77777777" w:rsidR="00994A4F" w:rsidRDefault="00994A4F" w:rsidP="00625618">
            <w:pPr>
              <w:pStyle w:val="ListParagraph"/>
              <w:numPr>
                <w:ilvl w:val="0"/>
                <w:numId w:val="27"/>
              </w:numPr>
              <w:snapToGrid w:val="0"/>
              <w:spacing w:after="100" w:afterAutospacing="1"/>
              <w:jc w:val="both"/>
            </w:pPr>
            <w:r>
              <w:t>RAN2 assumes the following about CSI measurement reporting for LTM (final decision up to RAN1):</w:t>
            </w:r>
          </w:p>
          <w:p w14:paraId="57E21176" w14:textId="6FB47D85" w:rsidR="00994A4F" w:rsidRDefault="00994A4F" w:rsidP="00625618">
            <w:pPr>
              <w:pStyle w:val="ListParagraph"/>
              <w:numPr>
                <w:ilvl w:val="1"/>
                <w:numId w:val="28"/>
              </w:numPr>
              <w:snapToGrid w:val="0"/>
              <w:spacing w:after="100" w:afterAutospacing="1"/>
              <w:jc w:val="both"/>
            </w:pPr>
            <w:r>
              <w:t>UE reports all measured LTM candidate cells in a single report; or</w:t>
            </w:r>
          </w:p>
          <w:p w14:paraId="279D62F3" w14:textId="21921BAF" w:rsidR="00625618" w:rsidRPr="00625618" w:rsidRDefault="00994A4F" w:rsidP="009E57A1">
            <w:pPr>
              <w:pStyle w:val="ListParagraph"/>
              <w:numPr>
                <w:ilvl w:val="1"/>
                <w:numId w:val="28"/>
              </w:numPr>
              <w:snapToGrid w:val="0"/>
              <w:spacing w:after="100" w:afterAutospacing="1"/>
              <w:jc w:val="both"/>
            </w:pPr>
            <w:r>
              <w:t>UE reports one or a subset of measured LTM candidate cell(s) in a report.</w:t>
            </w:r>
          </w:p>
          <w:p w14:paraId="11C57CA5" w14:textId="64967E1E" w:rsidR="00994A4F" w:rsidRPr="00625618" w:rsidRDefault="003A45D4" w:rsidP="009E57A1">
            <w:pPr>
              <w:snapToGrid w:val="0"/>
              <w:spacing w:after="100" w:afterAutospacing="1"/>
              <w:jc w:val="both"/>
            </w:pPr>
            <w:r>
              <w:t>For non-TA parts, we do MAC reset, which overrides earlier agreements on partial MAC reset. As earlier agreed RLC-AM can continue at LTM cell switch (intended for intra-DU).</w:t>
            </w:r>
          </w:p>
        </w:tc>
      </w:tr>
    </w:tbl>
    <w:p w14:paraId="60D5429C" w14:textId="77777777" w:rsidR="00B36F6F" w:rsidRDefault="00B36F6F" w:rsidP="00AC12D4">
      <w:pPr>
        <w:spacing w:after="0"/>
      </w:pPr>
    </w:p>
    <w:p w14:paraId="023595C3" w14:textId="7CAE80FC" w:rsidR="00AC12D4" w:rsidRDefault="005C461E" w:rsidP="00AC12D4">
      <w:pPr>
        <w:spacing w:after="0"/>
      </w:pPr>
      <w:r>
        <w:t>In RAN</w:t>
      </w:r>
      <w:r w:rsidR="002C2E8F">
        <w:t>2</w:t>
      </w:r>
      <w:r>
        <w:t>#1</w:t>
      </w:r>
      <w:r w:rsidR="002C2E8F">
        <w:t>21</w:t>
      </w:r>
      <w:r w:rsidR="00FB3AE7">
        <w:t>bis-e</w:t>
      </w:r>
      <w:r>
        <w:t>, the following agreements have been achieved [</w:t>
      </w:r>
      <w:r w:rsidR="00420DD6">
        <w:t>2</w:t>
      </w:r>
      <w:r>
        <w:t>]:</w:t>
      </w:r>
    </w:p>
    <w:p w14:paraId="5CBEFC61" w14:textId="77777777" w:rsidR="00AC12D4" w:rsidRDefault="00AC12D4" w:rsidP="00AC12D4">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AC12D4" w14:paraId="482670A7" w14:textId="77777777" w:rsidTr="00211EF6">
        <w:tc>
          <w:tcPr>
            <w:tcW w:w="9631" w:type="dxa"/>
            <w:shd w:val="clear" w:color="auto" w:fill="auto"/>
          </w:tcPr>
          <w:p w14:paraId="6867B056" w14:textId="09765A10" w:rsidR="00560D54" w:rsidRPr="0071593F" w:rsidRDefault="00413649" w:rsidP="00560D54">
            <w:pPr>
              <w:numPr>
                <w:ilvl w:val="0"/>
                <w:numId w:val="20"/>
              </w:numPr>
              <w:snapToGrid w:val="0"/>
              <w:spacing w:after="100" w:afterAutospacing="1"/>
              <w:jc w:val="both"/>
              <w:rPr>
                <w:lang w:val="en-US"/>
              </w:rPr>
            </w:pPr>
            <w:r w:rsidRPr="00413649">
              <w:rPr>
                <w:lang w:val="en-US"/>
              </w:rPr>
              <w:t>The UE may perform early decoding and early validity check. FFS whether Early validity check triggers early re-establishment. FFS the possible timing, FFS subset of cells, FFS if need to specify anything or just up to UE impl, FFS if other signalling to notify network is needed.</w:t>
            </w:r>
          </w:p>
          <w:p w14:paraId="0A0A27B8" w14:textId="77777777" w:rsidR="00157C7D" w:rsidRPr="00157C7D" w:rsidRDefault="00157C7D" w:rsidP="00157C7D">
            <w:pPr>
              <w:numPr>
                <w:ilvl w:val="0"/>
                <w:numId w:val="21"/>
              </w:numPr>
              <w:snapToGrid w:val="0"/>
              <w:spacing w:after="100" w:afterAutospacing="1"/>
              <w:jc w:val="both"/>
              <w:rPr>
                <w:lang w:val="en-US"/>
              </w:rPr>
            </w:pPr>
            <w:r w:rsidRPr="00157C7D">
              <w:rPr>
                <w:lang w:val="en-US"/>
              </w:rPr>
              <w:t>The location of RS configuration for SSB-based measurements of candidate cells is external to the ServingCellConfig(s) of current serving cells and external to the configuration of the LTM candidate cells. The RS configuration, per RAN1 agreement, can include PCI or logical ID, SMTC location, frequency location, and SCS.</w:t>
            </w:r>
          </w:p>
          <w:p w14:paraId="42A268C7" w14:textId="77777777" w:rsidR="00157C7D" w:rsidRPr="00157C7D" w:rsidRDefault="00157C7D" w:rsidP="00157C7D">
            <w:pPr>
              <w:numPr>
                <w:ilvl w:val="0"/>
                <w:numId w:val="21"/>
              </w:numPr>
              <w:snapToGrid w:val="0"/>
              <w:spacing w:after="100" w:afterAutospacing="1"/>
              <w:jc w:val="both"/>
              <w:rPr>
                <w:lang w:val="en-US"/>
              </w:rPr>
            </w:pPr>
            <w:r w:rsidRPr="00157C7D">
              <w:rPr>
                <w:lang w:val="en-US"/>
              </w:rPr>
              <w:t>RAN2 assumes that the location of configurations of TCI states for the candidate cells (used before/at cell switch) is external to the ServingCellConfig(s) of current serving cells and external to the configuration of the LTM candidate cells (same location as RS configuration).</w:t>
            </w:r>
          </w:p>
          <w:p w14:paraId="6B9A7734" w14:textId="77777777" w:rsidR="00157C7D" w:rsidRPr="00157C7D" w:rsidRDefault="00157C7D" w:rsidP="00157C7D">
            <w:pPr>
              <w:numPr>
                <w:ilvl w:val="0"/>
                <w:numId w:val="21"/>
              </w:numPr>
              <w:snapToGrid w:val="0"/>
              <w:spacing w:after="100" w:afterAutospacing="1"/>
              <w:jc w:val="both"/>
              <w:rPr>
                <w:lang w:val="en-US"/>
              </w:rPr>
            </w:pPr>
            <w:r w:rsidRPr="00157C7D">
              <w:rPr>
                <w:lang w:val="en-US"/>
              </w:rPr>
              <w:t>RAN2 assumes that For L1 measurements of LTM candidate cells, the reporting configuration is placed inside the ServingCellConfig of current serving cell(s).</w:t>
            </w:r>
          </w:p>
          <w:p w14:paraId="5EF06A2F" w14:textId="2174FFDA" w:rsidR="00157C7D" w:rsidRPr="00D25F15" w:rsidRDefault="00157C7D" w:rsidP="00D25F15">
            <w:pPr>
              <w:numPr>
                <w:ilvl w:val="0"/>
                <w:numId w:val="21"/>
              </w:numPr>
              <w:snapToGrid w:val="0"/>
              <w:spacing w:after="100" w:afterAutospacing="1"/>
              <w:jc w:val="both"/>
              <w:rPr>
                <w:lang w:val="en-US"/>
              </w:rPr>
            </w:pPr>
            <w:r w:rsidRPr="00157C7D">
              <w:rPr>
                <w:lang w:val="en-US"/>
              </w:rPr>
              <w:t>FFS if the LTM specific L1 measurements of an LTM candidate SCell is independent of its activation status.</w:t>
            </w:r>
          </w:p>
        </w:tc>
      </w:tr>
    </w:tbl>
    <w:p w14:paraId="655C8EFF" w14:textId="77777777" w:rsidR="00211EF6" w:rsidRDefault="00211EF6" w:rsidP="00211EF6">
      <w:pPr>
        <w:spacing w:after="0"/>
      </w:pPr>
    </w:p>
    <w:p w14:paraId="3AD9C13F" w14:textId="25A496F2" w:rsidR="00211EF6" w:rsidRDefault="00211EF6" w:rsidP="00211EF6">
      <w:pPr>
        <w:spacing w:after="0"/>
      </w:pPr>
      <w:r>
        <w:t>In RAN2#121, the following agreement ha</w:t>
      </w:r>
      <w:r w:rsidR="00420DD6">
        <w:t>s</w:t>
      </w:r>
      <w:r>
        <w:t xml:space="preserve"> been achieved [</w:t>
      </w:r>
      <w:r w:rsidR="00420DD6">
        <w:t>3</w:t>
      </w:r>
      <w:r>
        <w:t>]:</w:t>
      </w:r>
    </w:p>
    <w:p w14:paraId="4ED771C4" w14:textId="77777777" w:rsidR="00211EF6" w:rsidRDefault="00211EF6" w:rsidP="00211EF6">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211EF6" w14:paraId="032ABD44" w14:textId="77777777" w:rsidTr="00815B58">
        <w:tc>
          <w:tcPr>
            <w:tcW w:w="9857" w:type="dxa"/>
            <w:shd w:val="clear" w:color="auto" w:fill="auto"/>
          </w:tcPr>
          <w:p w14:paraId="3A344AEA" w14:textId="77777777" w:rsidR="00211EF6" w:rsidRPr="00B60DD2" w:rsidRDefault="00211EF6" w:rsidP="00815B58">
            <w:pPr>
              <w:snapToGrid w:val="0"/>
              <w:spacing w:after="100" w:afterAutospacing="1"/>
              <w:jc w:val="both"/>
              <w:rPr>
                <w:lang w:val="en-US"/>
              </w:rPr>
            </w:pPr>
            <w:r w:rsidRPr="00C6473A">
              <w:t>To determine if to reset L2 or not is based on RRC configuration (e.g. set of cells. FFS if separate for RLC, MAC, PDCP).</w:t>
            </w:r>
          </w:p>
        </w:tc>
      </w:tr>
    </w:tbl>
    <w:p w14:paraId="25DC98EF" w14:textId="77777777" w:rsidR="00BC3147" w:rsidRDefault="00BC3147" w:rsidP="00945884">
      <w:pPr>
        <w:spacing w:after="0"/>
      </w:pPr>
    </w:p>
    <w:p w14:paraId="1FF03B66" w14:textId="1E91FD4A" w:rsidR="000276A3" w:rsidRDefault="00D80F5E" w:rsidP="00945884">
      <w:pPr>
        <w:spacing w:after="0"/>
      </w:pPr>
      <w:r>
        <w:t xml:space="preserve">This contribution discusses </w:t>
      </w:r>
      <w:r w:rsidR="00B91065">
        <w:t xml:space="preserve">various RRC configuration aspects of LTM including </w:t>
      </w:r>
      <w:r w:rsidR="00E67BE9">
        <w:t>configuring a</w:t>
      </w:r>
      <w:r w:rsidR="00941D95">
        <w:t xml:space="preserve"> </w:t>
      </w:r>
      <w:r w:rsidR="00B91065">
        <w:t xml:space="preserve">serving cell as candidate for subsequent LTM, L2 </w:t>
      </w:r>
      <w:r w:rsidR="00E67BE9">
        <w:t>reset</w:t>
      </w:r>
      <w:r w:rsidR="006969F8">
        <w:t xml:space="preserve"> and </w:t>
      </w:r>
      <w:r w:rsidR="00E67BE9">
        <w:t>L1 measurements/reporting</w:t>
      </w:r>
      <w:r w:rsidR="003D2A66">
        <w:t>.</w:t>
      </w:r>
      <w:r w:rsidR="006969F8">
        <w:t xml:space="preserve"> </w:t>
      </w:r>
      <w:r w:rsidR="00464E0E">
        <w:t>This contribution also discusse</w:t>
      </w:r>
      <w:r w:rsidR="001E0586">
        <w:t>s</w:t>
      </w:r>
      <w:r w:rsidR="00464E0E">
        <w:t xml:space="preserve"> early decoding and delta configuration.</w:t>
      </w:r>
    </w:p>
    <w:p w14:paraId="7BA00ADE" w14:textId="0B0C020A" w:rsidR="000276A3" w:rsidRDefault="000276A3" w:rsidP="000276A3">
      <w:pPr>
        <w:pStyle w:val="Heading1"/>
      </w:pPr>
      <w:r>
        <w:t>2</w:t>
      </w:r>
      <w:r w:rsidRPr="00320A6B">
        <w:tab/>
      </w:r>
      <w:r>
        <w:t>Configuring the current serving cell group as an LTM candidate cell group for subsequent LTM</w:t>
      </w:r>
    </w:p>
    <w:p w14:paraId="45CDEC9F" w14:textId="32035F4F" w:rsidR="000276A3" w:rsidRDefault="000276A3" w:rsidP="000276A3">
      <w:r>
        <w:t xml:space="preserve">In subsequent LTM, the current serving cell group becomes an LTM candidate cell group after the first LTM execution. Any LTM candidate cell group requires LTM-specific configuration, e.g., an LTM candidate ID. This implies LTM-specifc configuration is also needed for the </w:t>
      </w:r>
      <w:r w:rsidR="0083052D">
        <w:t xml:space="preserve">UE’s </w:t>
      </w:r>
      <w:r>
        <w:t>current serving cell group. Two options are possible:</w:t>
      </w:r>
    </w:p>
    <w:p w14:paraId="07FB60EA" w14:textId="77777777" w:rsidR="000276A3" w:rsidRPr="00294D7C" w:rsidRDefault="000276A3" w:rsidP="000276A3">
      <w:pPr>
        <w:pStyle w:val="ListParagraph"/>
        <w:numPr>
          <w:ilvl w:val="0"/>
          <w:numId w:val="24"/>
        </w:numPr>
      </w:pPr>
      <w:r w:rsidRPr="00294D7C">
        <w:rPr>
          <w:b/>
          <w:bCs/>
        </w:rPr>
        <w:t>Option 1</w:t>
      </w:r>
      <w:r w:rsidRPr="00294D7C">
        <w:t xml:space="preserve">: During LTM preparation, the UE receives an </w:t>
      </w:r>
      <w:r>
        <w:t xml:space="preserve">RRCReconfiguration </w:t>
      </w:r>
      <w:r w:rsidRPr="00BF2E94">
        <w:rPr>
          <w:highlight w:val="yellow"/>
        </w:rPr>
        <w:t>message containing an LTM config</w:t>
      </w:r>
      <w:r w:rsidRPr="00294D7C">
        <w:t xml:space="preserve"> where: </w:t>
      </w:r>
    </w:p>
    <w:p w14:paraId="51C1999E" w14:textId="77777777" w:rsidR="000276A3" w:rsidRPr="00294D7C" w:rsidRDefault="000276A3" w:rsidP="000276A3">
      <w:pPr>
        <w:pStyle w:val="ListParagraph"/>
        <w:numPr>
          <w:ilvl w:val="1"/>
          <w:numId w:val="24"/>
        </w:numPr>
      </w:pPr>
      <w:r w:rsidRPr="00294D7C">
        <w:t xml:space="preserve">The LTM config comprises a list of LTM candidate configs (containing RRCReconfiguration) with LTM candidate IDs, </w:t>
      </w:r>
      <w:r w:rsidRPr="00BF2E94">
        <w:rPr>
          <w:b/>
          <w:bCs/>
          <w:highlight w:val="green"/>
        </w:rPr>
        <w:t>where one member of this list is that of the UE’s current serving cell group</w:t>
      </w:r>
      <w:r w:rsidRPr="00294D7C">
        <w:t xml:space="preserve">. </w:t>
      </w:r>
    </w:p>
    <w:p w14:paraId="0B2F2D79" w14:textId="77777777" w:rsidR="000276A3" w:rsidRPr="00294D7C" w:rsidRDefault="000276A3" w:rsidP="000276A3">
      <w:pPr>
        <w:pStyle w:val="ListParagraph"/>
        <w:numPr>
          <w:ilvl w:val="1"/>
          <w:numId w:val="24"/>
        </w:numPr>
      </w:pPr>
      <w:r w:rsidRPr="00294D7C">
        <w:t xml:space="preserve">The </w:t>
      </w:r>
      <w:r w:rsidRPr="00BF2E94">
        <w:rPr>
          <w:b/>
          <w:bCs/>
          <w:highlight w:val="cyan"/>
        </w:rPr>
        <w:t>UE immediately applies the RRCReconfiguration of the LTM member candidate corresponding to the UE’s current serving cell group</w:t>
      </w:r>
      <w:r w:rsidRPr="00294D7C">
        <w:t>, e.g., which provides LTM-related reporting configuration, LTM-related TCI state configuration, etc.</w:t>
      </w:r>
    </w:p>
    <w:p w14:paraId="2BF04417" w14:textId="77777777" w:rsidR="000276A3" w:rsidRDefault="000276A3" w:rsidP="000276A3">
      <w:pPr>
        <w:pStyle w:val="ListParagraph"/>
        <w:numPr>
          <w:ilvl w:val="0"/>
          <w:numId w:val="24"/>
        </w:numPr>
      </w:pPr>
      <w:r w:rsidRPr="00294D7C">
        <w:rPr>
          <w:b/>
          <w:bCs/>
        </w:rPr>
        <w:t>Option 2</w:t>
      </w:r>
      <w:r w:rsidRPr="00294D7C">
        <w:t xml:space="preserve">: During LTM preparation, the UE receives an </w:t>
      </w:r>
      <w:r>
        <w:t xml:space="preserve">RRCReconfiguration </w:t>
      </w:r>
      <w:r w:rsidRPr="00BF2E94">
        <w:rPr>
          <w:highlight w:val="yellow"/>
        </w:rPr>
        <w:t>message containing an update of the UE’s current serving cell group + an LTM config</w:t>
      </w:r>
      <w:r>
        <w:t>, where:</w:t>
      </w:r>
    </w:p>
    <w:p w14:paraId="3B70E49F" w14:textId="77777777" w:rsidR="000276A3" w:rsidRDefault="000276A3" w:rsidP="000276A3">
      <w:pPr>
        <w:pStyle w:val="ListParagraph"/>
        <w:numPr>
          <w:ilvl w:val="1"/>
          <w:numId w:val="24"/>
        </w:numPr>
      </w:pPr>
      <w:r w:rsidRPr="00294D7C">
        <w:t>The LTM config comprises a list of LTM candidate configs (containing RRCReconfiguration) with LTM candidate IDs</w:t>
      </w:r>
      <w:r>
        <w:t xml:space="preserve">, </w:t>
      </w:r>
      <w:r w:rsidRPr="00BF2E94">
        <w:rPr>
          <w:b/>
          <w:bCs/>
          <w:highlight w:val="green"/>
        </w:rPr>
        <w:t>none of which corresponds to the UE’s current serving cell group</w:t>
      </w:r>
      <w:r>
        <w:rPr>
          <w:b/>
          <w:bCs/>
        </w:rPr>
        <w:t>.</w:t>
      </w:r>
    </w:p>
    <w:p w14:paraId="74FF7F6D" w14:textId="23D0CB95" w:rsidR="000276A3" w:rsidRPr="00294D7C" w:rsidRDefault="000276A3" w:rsidP="000276A3">
      <w:pPr>
        <w:pStyle w:val="ListParagraph"/>
        <w:numPr>
          <w:ilvl w:val="1"/>
          <w:numId w:val="24"/>
        </w:numPr>
      </w:pPr>
      <w:r>
        <w:t xml:space="preserve">The </w:t>
      </w:r>
      <w:r w:rsidRPr="00BF2E94">
        <w:rPr>
          <w:b/>
          <w:bCs/>
          <w:highlight w:val="cyan"/>
        </w:rPr>
        <w:t xml:space="preserve">UE immediately applies the update of the UE’s current serving cell </w:t>
      </w:r>
      <w:r w:rsidRPr="005C71E8">
        <w:rPr>
          <w:b/>
          <w:bCs/>
          <w:highlight w:val="cyan"/>
        </w:rPr>
        <w:t xml:space="preserve">group, </w:t>
      </w:r>
      <w:r w:rsidR="00F1031F" w:rsidRPr="005C71E8">
        <w:rPr>
          <w:b/>
          <w:bCs/>
          <w:highlight w:val="cyan"/>
        </w:rPr>
        <w:t>which assigns an LTM candidate ID to the UE’s current serving cell group</w:t>
      </w:r>
      <w:r w:rsidR="001F55C1">
        <w:t xml:space="preserve">, and, e.g., </w:t>
      </w:r>
      <w:r w:rsidR="00BF2E94" w:rsidRPr="00294D7C">
        <w:t>provides LTM-related reporting configuration, LTM-related TCI state configuration, etc.</w:t>
      </w:r>
    </w:p>
    <w:p w14:paraId="3AB2E24A" w14:textId="4157C2E6" w:rsidR="000276A3" w:rsidRDefault="00B10B69" w:rsidP="00945884">
      <w:pPr>
        <w:spacing w:after="0"/>
        <w:rPr>
          <w:b/>
          <w:bCs/>
        </w:rPr>
      </w:pPr>
      <w:r>
        <w:rPr>
          <w:b/>
          <w:bCs/>
        </w:rPr>
        <w:t>Proposal 1: RAN2 to discuss the following options to configure the UE’s current serving cell group as an LTM candidate for subsequent LTM:</w:t>
      </w:r>
    </w:p>
    <w:p w14:paraId="571A975F" w14:textId="7175A6AC" w:rsidR="00B10B69" w:rsidRDefault="00B10B69" w:rsidP="00945884">
      <w:pPr>
        <w:spacing w:after="0"/>
        <w:rPr>
          <w:b/>
          <w:bCs/>
        </w:rPr>
      </w:pPr>
      <w:r>
        <w:rPr>
          <w:b/>
          <w:bCs/>
        </w:rPr>
        <w:t>-</w:t>
      </w:r>
      <w:r>
        <w:rPr>
          <w:b/>
          <w:bCs/>
        </w:rPr>
        <w:tab/>
      </w:r>
      <w:r w:rsidR="00C31033">
        <w:rPr>
          <w:b/>
          <w:bCs/>
        </w:rPr>
        <w:t xml:space="preserve">Option 1: </w:t>
      </w:r>
      <w:r w:rsidR="00077D82">
        <w:rPr>
          <w:b/>
          <w:bCs/>
        </w:rPr>
        <w:t>During LTM preparation, t</w:t>
      </w:r>
      <w:r w:rsidR="00C31033">
        <w:rPr>
          <w:b/>
          <w:bCs/>
        </w:rPr>
        <w:t xml:space="preserve">he UE receives </w:t>
      </w:r>
      <w:r w:rsidR="00077D82">
        <w:rPr>
          <w:b/>
          <w:bCs/>
        </w:rPr>
        <w:t xml:space="preserve">a list of LTM candidate configs + IDs, one of which corresponds to the UE’s current serving cell group, where the UE immediately applies the </w:t>
      </w:r>
      <w:r w:rsidR="00703143">
        <w:rPr>
          <w:b/>
          <w:bCs/>
        </w:rPr>
        <w:t xml:space="preserve">RRCReconfiguration of </w:t>
      </w:r>
      <w:r w:rsidR="007C39DE">
        <w:rPr>
          <w:b/>
          <w:bCs/>
        </w:rPr>
        <w:t>that</w:t>
      </w:r>
      <w:r w:rsidR="00333BDE">
        <w:rPr>
          <w:b/>
          <w:bCs/>
        </w:rPr>
        <w:t xml:space="preserve"> list</w:t>
      </w:r>
      <w:r w:rsidR="00671987">
        <w:rPr>
          <w:b/>
          <w:bCs/>
        </w:rPr>
        <w:t xml:space="preserve"> member</w:t>
      </w:r>
      <w:r w:rsidR="00584D30">
        <w:rPr>
          <w:b/>
          <w:bCs/>
        </w:rPr>
        <w:t xml:space="preserve"> </w:t>
      </w:r>
      <w:r w:rsidR="005F2551">
        <w:rPr>
          <w:b/>
          <w:bCs/>
        </w:rPr>
        <w:t xml:space="preserve">to </w:t>
      </w:r>
      <w:r w:rsidR="00F8488E">
        <w:rPr>
          <w:b/>
          <w:bCs/>
        </w:rPr>
        <w:t xml:space="preserve">be able to </w:t>
      </w:r>
      <w:r w:rsidR="00B951D4">
        <w:rPr>
          <w:b/>
          <w:bCs/>
        </w:rPr>
        <w:t xml:space="preserve">perform the </w:t>
      </w:r>
      <w:r w:rsidR="006E43AB">
        <w:rPr>
          <w:b/>
          <w:bCs/>
        </w:rPr>
        <w:t xml:space="preserve">necessary </w:t>
      </w:r>
      <w:r w:rsidR="00F152C7">
        <w:rPr>
          <w:b/>
          <w:bCs/>
        </w:rPr>
        <w:t>LTM-related procedures before th</w:t>
      </w:r>
      <w:r w:rsidR="00F8488E">
        <w:rPr>
          <w:b/>
          <w:bCs/>
        </w:rPr>
        <w:t>e LTM cell switch</w:t>
      </w:r>
      <w:r w:rsidR="00671987">
        <w:rPr>
          <w:b/>
          <w:bCs/>
        </w:rPr>
        <w:t>.</w:t>
      </w:r>
    </w:p>
    <w:p w14:paraId="2628C14E" w14:textId="2F7F79F7" w:rsidR="00671987" w:rsidRPr="00B10B69" w:rsidRDefault="00671987" w:rsidP="00945884">
      <w:pPr>
        <w:spacing w:after="0"/>
        <w:rPr>
          <w:b/>
          <w:bCs/>
        </w:rPr>
      </w:pPr>
      <w:r>
        <w:rPr>
          <w:b/>
          <w:bCs/>
        </w:rPr>
        <w:t>-</w:t>
      </w:r>
      <w:r>
        <w:rPr>
          <w:b/>
          <w:bCs/>
        </w:rPr>
        <w:tab/>
        <w:t xml:space="preserve">Option 2: </w:t>
      </w:r>
      <w:r w:rsidR="001E667A">
        <w:rPr>
          <w:b/>
          <w:bCs/>
        </w:rPr>
        <w:t xml:space="preserve">During LTM preparation, the UE receives a list of LTM candidate configs + IDs, none of which corresponds to the UE’s current serving cell group. The UE additionally receives a separate </w:t>
      </w:r>
      <w:r w:rsidR="00C636B9">
        <w:rPr>
          <w:b/>
          <w:bCs/>
        </w:rPr>
        <w:t xml:space="preserve">configuration update for its current serving cell group, which assigns </w:t>
      </w:r>
      <w:r w:rsidR="003C1FA1">
        <w:rPr>
          <w:b/>
          <w:bCs/>
        </w:rPr>
        <w:t xml:space="preserve">a candidate ID </w:t>
      </w:r>
      <w:r w:rsidR="008526A9">
        <w:rPr>
          <w:b/>
          <w:bCs/>
        </w:rPr>
        <w:t>to the current serving cell group and provides LTM</w:t>
      </w:r>
      <w:r w:rsidR="00592CA3">
        <w:rPr>
          <w:b/>
          <w:bCs/>
        </w:rPr>
        <w:t>-related configuration</w:t>
      </w:r>
      <w:r w:rsidR="003E36DF">
        <w:rPr>
          <w:b/>
          <w:bCs/>
        </w:rPr>
        <w:t xml:space="preserve"> that</w:t>
      </w:r>
      <w:r w:rsidR="009E2947">
        <w:rPr>
          <w:b/>
          <w:bCs/>
        </w:rPr>
        <w:t xml:space="preserve"> the UE needs </w:t>
      </w:r>
      <w:r w:rsidR="00F8488E">
        <w:rPr>
          <w:b/>
          <w:bCs/>
        </w:rPr>
        <w:t xml:space="preserve">to perform the </w:t>
      </w:r>
      <w:r w:rsidR="007C5707">
        <w:rPr>
          <w:b/>
          <w:bCs/>
        </w:rPr>
        <w:t xml:space="preserve">necessary </w:t>
      </w:r>
      <w:r w:rsidR="00F8488E">
        <w:rPr>
          <w:b/>
          <w:bCs/>
        </w:rPr>
        <w:t>LTM-related procedures before the LTM cell switch</w:t>
      </w:r>
      <w:r w:rsidR="006766AE">
        <w:rPr>
          <w:b/>
          <w:bCs/>
        </w:rPr>
        <w:t>.</w:t>
      </w:r>
    </w:p>
    <w:p w14:paraId="616C260D" w14:textId="1060179E" w:rsidR="00DA343D" w:rsidRDefault="000276A3" w:rsidP="00DA343D">
      <w:pPr>
        <w:pStyle w:val="Heading1"/>
      </w:pPr>
      <w:r>
        <w:t>3</w:t>
      </w:r>
      <w:r w:rsidR="00DA343D" w:rsidRPr="00320A6B">
        <w:tab/>
      </w:r>
      <w:r w:rsidR="00DA5CFC">
        <w:t>RRC configuration of</w:t>
      </w:r>
      <w:r w:rsidR="00DA343D">
        <w:t xml:space="preserve"> L2 reset</w:t>
      </w:r>
      <w:r w:rsidR="00E45DC2">
        <w:t xml:space="preserve"> (RLC, PDCP)</w:t>
      </w:r>
    </w:p>
    <w:p w14:paraId="6FBDED9D" w14:textId="08CDE841" w:rsidR="0068513B" w:rsidRDefault="0068513B" w:rsidP="00DA343D">
      <w:r>
        <w:t>RAN2#122 agreed that the UE always performs full MAC reset at LTM execution. The discussion below refers to RLC reestablishment and PDCP recovery</w:t>
      </w:r>
      <w:r w:rsidR="00BB1CF4">
        <w:t xml:space="preserve"> for RLC AM.</w:t>
      </w:r>
    </w:p>
    <w:p w14:paraId="0CFCB9A9" w14:textId="7B4DB8F8" w:rsidR="00DA343D" w:rsidRDefault="00DA343D" w:rsidP="00DA343D">
      <w:r>
        <w:t>RAN2#121 agreed that the UE determines whether to do L2 reset at LTM execution based on prior RRC configuration. This can be done as follows:</w:t>
      </w:r>
    </w:p>
    <w:p w14:paraId="566B4250" w14:textId="77777777" w:rsidR="00DA343D" w:rsidRDefault="00DA343D" w:rsidP="00DA343D">
      <w:pPr>
        <w:pStyle w:val="ListParagraph"/>
        <w:numPr>
          <w:ilvl w:val="0"/>
          <w:numId w:val="24"/>
        </w:numPr>
      </w:pPr>
      <w:r w:rsidRPr="00EA5310">
        <w:rPr>
          <w:b/>
          <w:bCs/>
        </w:rPr>
        <w:t>Step 1</w:t>
      </w:r>
      <w:r>
        <w:t xml:space="preserve">: </w:t>
      </w:r>
      <w:r w:rsidRPr="00C5271F">
        <w:t xml:space="preserve">RRC </w:t>
      </w:r>
      <w:r>
        <w:t>provides partitioning of the candidate LTM configurations into sets during LTM preparation.</w:t>
      </w:r>
    </w:p>
    <w:p w14:paraId="6BDBE08F" w14:textId="10484544" w:rsidR="00DA343D" w:rsidRDefault="00DA343D" w:rsidP="00DA343D">
      <w:pPr>
        <w:pStyle w:val="ListParagraph"/>
        <w:numPr>
          <w:ilvl w:val="0"/>
          <w:numId w:val="24"/>
        </w:numPr>
      </w:pPr>
      <w:r w:rsidRPr="00EA5310">
        <w:rPr>
          <w:b/>
          <w:bCs/>
        </w:rPr>
        <w:t>Step 2</w:t>
      </w:r>
      <w:r>
        <w:t xml:space="preserve">: The LTM </w:t>
      </w:r>
      <w:r w:rsidR="00E1061A">
        <w:t>cell switch command</w:t>
      </w:r>
      <w:r>
        <w:t xml:space="preserve"> indicates a candidate LTM configuration index.</w:t>
      </w:r>
    </w:p>
    <w:p w14:paraId="6D42C48F" w14:textId="77777777" w:rsidR="00DA343D" w:rsidRDefault="00DA343D" w:rsidP="00DA343D">
      <w:pPr>
        <w:pStyle w:val="ListParagraph"/>
        <w:numPr>
          <w:ilvl w:val="0"/>
          <w:numId w:val="24"/>
        </w:numPr>
      </w:pPr>
      <w:r w:rsidRPr="00EA5310">
        <w:rPr>
          <w:b/>
          <w:bCs/>
        </w:rPr>
        <w:t>Step 3</w:t>
      </w:r>
      <w:r>
        <w:t>: The UE checks if the configuration index of the serving cell group and the configuration index of the candidate cell group belong to same or different sets as per the RRC configuration in Step 1:</w:t>
      </w:r>
    </w:p>
    <w:p w14:paraId="357B9078" w14:textId="77777777" w:rsidR="00DA343D" w:rsidRDefault="00DA343D" w:rsidP="00DA343D">
      <w:pPr>
        <w:pStyle w:val="ListParagraph"/>
        <w:numPr>
          <w:ilvl w:val="1"/>
          <w:numId w:val="24"/>
        </w:numPr>
      </w:pPr>
      <w:r>
        <w:rPr>
          <w:b/>
          <w:bCs/>
        </w:rPr>
        <w:t>If same set</w:t>
      </w:r>
      <w:r w:rsidRPr="00DD1308">
        <w:t>:</w:t>
      </w:r>
      <w:r>
        <w:t xml:space="preserve"> the UE does NOT perform L2 reset.</w:t>
      </w:r>
    </w:p>
    <w:p w14:paraId="6062226F" w14:textId="77777777" w:rsidR="00DA343D" w:rsidRDefault="00DA343D" w:rsidP="00DA343D">
      <w:pPr>
        <w:pStyle w:val="ListParagraph"/>
        <w:numPr>
          <w:ilvl w:val="1"/>
          <w:numId w:val="24"/>
        </w:numPr>
      </w:pPr>
      <w:r>
        <w:rPr>
          <w:b/>
          <w:bCs/>
        </w:rPr>
        <w:t>If different sets</w:t>
      </w:r>
      <w:r w:rsidRPr="00DD1308">
        <w:t>:</w:t>
      </w:r>
      <w:r>
        <w:t xml:space="preserve"> the UE performs L2 reset.</w:t>
      </w:r>
    </w:p>
    <w:p w14:paraId="2FCFEA2C" w14:textId="5F61064D" w:rsidR="00DA343D" w:rsidRDefault="00DA343D" w:rsidP="00DA343D">
      <w:pPr>
        <w:rPr>
          <w:b/>
          <w:bCs/>
        </w:rPr>
      </w:pPr>
      <w:r>
        <w:rPr>
          <w:b/>
          <w:bCs/>
        </w:rPr>
        <w:t xml:space="preserve">Proposal </w:t>
      </w:r>
      <w:r w:rsidR="00C1641F">
        <w:rPr>
          <w:b/>
          <w:bCs/>
        </w:rPr>
        <w:t>2</w:t>
      </w:r>
      <w:r w:rsidR="003A2659">
        <w:rPr>
          <w:b/>
          <w:bCs/>
        </w:rPr>
        <w:t>a</w:t>
      </w:r>
      <w:r>
        <w:rPr>
          <w:b/>
          <w:bCs/>
        </w:rPr>
        <w:t xml:space="preserve">: To determine </w:t>
      </w:r>
      <w:r w:rsidR="00EE426A">
        <w:rPr>
          <w:b/>
          <w:bCs/>
        </w:rPr>
        <w:t>whether to perform RLC reestablishment and PDCP recovery</w:t>
      </w:r>
      <w:r>
        <w:rPr>
          <w:b/>
          <w:bCs/>
        </w:rPr>
        <w:t xml:space="preserve">, </w:t>
      </w:r>
      <w:r w:rsidRPr="00EB1464">
        <w:rPr>
          <w:b/>
          <w:bCs/>
        </w:rPr>
        <w:t>RRC provides partitioning of the candidate LTM configurations into sets during LTM preparation.</w:t>
      </w:r>
      <w:r>
        <w:rPr>
          <w:b/>
          <w:bCs/>
        </w:rPr>
        <w:t xml:space="preserve"> At LTM execution, the UE performs </w:t>
      </w:r>
      <w:r w:rsidR="00B12271">
        <w:rPr>
          <w:b/>
          <w:bCs/>
        </w:rPr>
        <w:t>the</w:t>
      </w:r>
      <w:r w:rsidR="00515D32">
        <w:rPr>
          <w:b/>
          <w:bCs/>
        </w:rPr>
        <w:t xml:space="preserve">se steps </w:t>
      </w:r>
      <w:r>
        <w:rPr>
          <w:b/>
          <w:bCs/>
        </w:rPr>
        <w:t xml:space="preserve">if the source configuration and the target configuration fall into different sets. The UE skips </w:t>
      </w:r>
      <w:r w:rsidR="00515D32">
        <w:rPr>
          <w:b/>
          <w:bCs/>
        </w:rPr>
        <w:t>these steps</w:t>
      </w:r>
      <w:r>
        <w:rPr>
          <w:b/>
          <w:bCs/>
        </w:rPr>
        <w:t xml:space="preserve"> otherwise.</w:t>
      </w:r>
    </w:p>
    <w:p w14:paraId="7F42B9C6" w14:textId="4DDE0CBD" w:rsidR="00DA343D" w:rsidRDefault="00DA343D" w:rsidP="003A2659">
      <w:r>
        <w:lastRenderedPageBreak/>
        <w:t>Having separate configurations per reset type is more flexible for the network and should be supported</w:t>
      </w:r>
      <w:r w:rsidR="003A2659">
        <w:t>.</w:t>
      </w:r>
    </w:p>
    <w:p w14:paraId="154DB6D7" w14:textId="10B1A619" w:rsidR="00DA343D" w:rsidRDefault="00DA343D" w:rsidP="008C01CF">
      <w:pPr>
        <w:rPr>
          <w:b/>
          <w:bCs/>
        </w:rPr>
      </w:pPr>
      <w:r w:rsidRPr="00383801">
        <w:rPr>
          <w:b/>
          <w:bCs/>
        </w:rPr>
        <w:t xml:space="preserve">Proposal </w:t>
      </w:r>
      <w:r w:rsidR="00C1641F">
        <w:rPr>
          <w:b/>
          <w:bCs/>
        </w:rPr>
        <w:t>2</w:t>
      </w:r>
      <w:r w:rsidRPr="00383801">
        <w:rPr>
          <w:b/>
          <w:bCs/>
        </w:rPr>
        <w:t xml:space="preserve">b: Separate RRC </w:t>
      </w:r>
      <w:r w:rsidR="00CE0288">
        <w:rPr>
          <w:b/>
          <w:bCs/>
        </w:rPr>
        <w:t>partitioning is configured</w:t>
      </w:r>
      <w:r>
        <w:rPr>
          <w:b/>
          <w:bCs/>
        </w:rPr>
        <w:t xml:space="preserve"> </w:t>
      </w:r>
      <w:r w:rsidRPr="00383801">
        <w:rPr>
          <w:b/>
          <w:bCs/>
        </w:rPr>
        <w:t>to determine whether to perform RLC reestablishment</w:t>
      </w:r>
      <w:r w:rsidR="008C01CF">
        <w:rPr>
          <w:b/>
          <w:bCs/>
        </w:rPr>
        <w:t xml:space="preserve"> or PDCP recovery</w:t>
      </w:r>
      <w:r>
        <w:rPr>
          <w:b/>
          <w:bCs/>
        </w:rPr>
        <w:t>.</w:t>
      </w:r>
    </w:p>
    <w:p w14:paraId="05387D70" w14:textId="1F7ECD64" w:rsidR="00247D9E" w:rsidRDefault="00151304" w:rsidP="00247D9E">
      <w:pPr>
        <w:pStyle w:val="Heading1"/>
      </w:pPr>
      <w:r>
        <w:t>4</w:t>
      </w:r>
      <w:r w:rsidR="00247D9E">
        <w:tab/>
      </w:r>
      <w:r w:rsidR="004B3B18">
        <w:t>Configuration of</w:t>
      </w:r>
      <w:r w:rsidR="00247D9E">
        <w:t xml:space="preserve"> </w:t>
      </w:r>
      <w:r w:rsidR="009D3147">
        <w:t xml:space="preserve">L1 </w:t>
      </w:r>
      <w:r w:rsidR="00247D9E">
        <w:t>measurement</w:t>
      </w:r>
      <w:r w:rsidR="009D3147">
        <w:t>/</w:t>
      </w:r>
      <w:r w:rsidR="00247D9E">
        <w:t>reporting</w:t>
      </w:r>
    </w:p>
    <w:p w14:paraId="6330DF51" w14:textId="5F40E8C9" w:rsidR="00247D9E" w:rsidRDefault="00151304" w:rsidP="00247D9E">
      <w:pPr>
        <w:pStyle w:val="Heading2"/>
      </w:pPr>
      <w:r>
        <w:t>4</w:t>
      </w:r>
      <w:r w:rsidR="00247D9E">
        <w:t>.1</w:t>
      </w:r>
      <w:r w:rsidR="00247D9E">
        <w:tab/>
      </w:r>
      <w:r w:rsidR="00C81452">
        <w:t>Location of reporting configuration</w:t>
      </w:r>
    </w:p>
    <w:p w14:paraId="47FED69F" w14:textId="4DE233AF" w:rsidR="00584632" w:rsidRDefault="007A7FF9" w:rsidP="00584632">
      <w:r>
        <w:t xml:space="preserve">For measurements, </w:t>
      </w:r>
      <w:r w:rsidR="002C102C">
        <w:t xml:space="preserve">RAN2#122 agreed that </w:t>
      </w:r>
      <w:r>
        <w:t>the RS configuration and/or CSI resource configuration for measuring LTM candidate cells is included in the LTM-Config IE and is a separate configuration, e.g. outside of the LTM candidate configuration.</w:t>
      </w:r>
    </w:p>
    <w:p w14:paraId="79D4757E" w14:textId="391FE848" w:rsidR="007A7FF9" w:rsidRDefault="007A7FF9" w:rsidP="00584632">
      <w:r>
        <w:t xml:space="preserve">For reporting, </w:t>
      </w:r>
      <w:r w:rsidR="00A54151">
        <w:t xml:space="preserve">RAN2#121bis-e </w:t>
      </w:r>
      <w:r w:rsidR="00A54151" w:rsidRPr="0000010B">
        <w:t xml:space="preserve">agreed that </w:t>
      </w:r>
      <w:r w:rsidR="00A54151" w:rsidRPr="00157C7D">
        <w:rPr>
          <w:lang w:val="en-US"/>
        </w:rPr>
        <w:t>the reporting configuration is placed inside the ServingCellConfig of current serving cell(s)</w:t>
      </w:r>
      <w:r w:rsidR="00A54151">
        <w:rPr>
          <w:lang w:val="en-US"/>
        </w:rPr>
        <w:t xml:space="preserve">. </w:t>
      </w:r>
      <w:r w:rsidR="00A54151">
        <w:t xml:space="preserve">RAN2#122 further agreed that </w:t>
      </w:r>
      <w:r w:rsidR="00D50A56">
        <w:t>each C-DU receives the RS configuration of S-DU and/or other C-DUs</w:t>
      </w:r>
      <w:r w:rsidR="008C71A0">
        <w:t xml:space="preserve"> </w:t>
      </w:r>
      <w:r w:rsidR="00D50A56">
        <w:t xml:space="preserve">to generate the corresponding </w:t>
      </w:r>
      <w:r w:rsidR="008C71A0">
        <w:t>“</w:t>
      </w:r>
      <w:r w:rsidR="00D50A56">
        <w:t>L1 configuration</w:t>
      </w:r>
      <w:r w:rsidR="008C71A0">
        <w:t>”</w:t>
      </w:r>
      <w:r w:rsidR="00D50A56">
        <w:t xml:space="preserve"> for LTM</w:t>
      </w:r>
      <w:r w:rsidR="008C71A0">
        <w:t xml:space="preserve">. </w:t>
      </w:r>
      <w:r w:rsidR="00192549">
        <w:t xml:space="preserve">RAN2 should confirm </w:t>
      </w:r>
      <w:r w:rsidR="00847242">
        <w:t xml:space="preserve">that this L1 configuration includes the report configuration a UE would use after it switches to the corresponding LTM candidate cell, and that this configuration is carried as part of </w:t>
      </w:r>
      <w:r w:rsidR="00847242" w:rsidRPr="00A6330F">
        <w:t>ServingCellConfig</w:t>
      </w:r>
      <w:r w:rsidR="00847242">
        <w:t xml:space="preserve"> of the candidate cell</w:t>
      </w:r>
      <w:r w:rsidR="001B1863">
        <w:t xml:space="preserve"> (which after cell switch becomes the serving cell).</w:t>
      </w:r>
    </w:p>
    <w:p w14:paraId="16CFCE0B" w14:textId="25582CF4" w:rsidR="00247D9E" w:rsidRPr="00583FB8" w:rsidRDefault="00C90F53" w:rsidP="00247D9E">
      <w:pPr>
        <w:rPr>
          <w:b/>
          <w:bCs/>
        </w:rPr>
      </w:pPr>
      <w:r>
        <w:rPr>
          <w:b/>
          <w:bCs/>
        </w:rPr>
        <w:t xml:space="preserve">Proposal 3: RAN2 to confirm that the UE </w:t>
      </w:r>
      <w:r w:rsidR="002B3E0B">
        <w:rPr>
          <w:b/>
          <w:bCs/>
        </w:rPr>
        <w:t xml:space="preserve">receives separate reporting configurations within the </w:t>
      </w:r>
      <w:r w:rsidR="002B3E0B" w:rsidRPr="002B3E0B">
        <w:rPr>
          <w:b/>
          <w:bCs/>
        </w:rPr>
        <w:t>ServingCellConfig</w:t>
      </w:r>
      <w:r w:rsidR="002B3E0B">
        <w:rPr>
          <w:b/>
          <w:bCs/>
        </w:rPr>
        <w:t xml:space="preserve"> of each of the current serving cell and the candidate cells. </w:t>
      </w:r>
      <w:r w:rsidR="003C117A">
        <w:rPr>
          <w:b/>
          <w:bCs/>
        </w:rPr>
        <w:t xml:space="preserve">The UE applies the reporting configuration of the current serving cell before the cell switch and that of the target cell after the </w:t>
      </w:r>
      <w:r w:rsidR="002F0C02">
        <w:rPr>
          <w:b/>
          <w:bCs/>
        </w:rPr>
        <w:t>cell switch.</w:t>
      </w:r>
    </w:p>
    <w:p w14:paraId="3D203265" w14:textId="65071B43" w:rsidR="00247D9E" w:rsidRDefault="00583FB8" w:rsidP="00247D9E">
      <w:pPr>
        <w:pStyle w:val="Heading2"/>
      </w:pPr>
      <w:r>
        <w:t>4</w:t>
      </w:r>
      <w:r w:rsidR="00247D9E">
        <w:t>.</w:t>
      </w:r>
      <w:r>
        <w:t>2</w:t>
      </w:r>
      <w:r w:rsidR="00247D9E">
        <w:tab/>
        <w:t xml:space="preserve">Measurement/reporting of a </w:t>
      </w:r>
      <w:r w:rsidR="00466DD5">
        <w:t>deactivated serving</w:t>
      </w:r>
      <w:r w:rsidR="00247D9E">
        <w:t xml:space="preserve"> SCell</w:t>
      </w:r>
    </w:p>
    <w:p w14:paraId="173A2197" w14:textId="77777777" w:rsidR="00247D9E" w:rsidRDefault="00247D9E" w:rsidP="00247D9E">
      <w:r>
        <w:t>In legacy behavior, UE reports L1 measurements of a serving SCell in activated state and stops these reports in the deactivated state. In case a cell is both a serving SCell and an LTM candidate cell, the UE would still need to submit L1 measurement reports of the cell in deactivated state for the sake of LTM or else LTM to the cell is never triggered. This implies that measurement of a cell that is both a serving SCell and an LTM candidate cell is independent of the activation status of that cell.</w:t>
      </w:r>
    </w:p>
    <w:p w14:paraId="2C27499D" w14:textId="2B35B47A" w:rsidR="00247D9E" w:rsidRDefault="00247D9E" w:rsidP="00247D9E">
      <w:pPr>
        <w:rPr>
          <w:b/>
          <w:bCs/>
        </w:rPr>
      </w:pPr>
      <w:r w:rsidRPr="00954F57">
        <w:rPr>
          <w:b/>
          <w:bCs/>
        </w:rPr>
        <w:t xml:space="preserve">Proposal </w:t>
      </w:r>
      <w:r w:rsidR="00FC2D74">
        <w:rPr>
          <w:b/>
          <w:bCs/>
        </w:rPr>
        <w:t>4</w:t>
      </w:r>
      <w:r w:rsidRPr="00954F57">
        <w:rPr>
          <w:b/>
          <w:bCs/>
        </w:rPr>
        <w:t>: LTM specific L1 measurements of an LTM candidate cell that is also a current serving SCell is independent of the activation status of that SCell.</w:t>
      </w:r>
    </w:p>
    <w:p w14:paraId="12663ABF" w14:textId="526FE2AD" w:rsidR="0004414E" w:rsidRDefault="0004414E" w:rsidP="0004414E">
      <w:pPr>
        <w:pStyle w:val="Heading1"/>
      </w:pPr>
      <w:r>
        <w:t>5</w:t>
      </w:r>
      <w:r>
        <w:tab/>
        <w:t>Discussion on decoding and validity-check of LTM candidate configurations</w:t>
      </w:r>
    </w:p>
    <w:p w14:paraId="76E86323" w14:textId="77777777" w:rsidR="0004414E" w:rsidRDefault="0004414E" w:rsidP="0004414E">
      <w:pPr>
        <w:rPr>
          <w:b/>
          <w:bCs/>
        </w:rPr>
      </w:pPr>
      <w:r>
        <w:rPr>
          <w:lang w:val="en-US"/>
        </w:rPr>
        <w:t>RAN2#121bis-e agreed that t</w:t>
      </w:r>
      <w:r w:rsidRPr="00413649">
        <w:rPr>
          <w:lang w:val="en-US"/>
        </w:rPr>
        <w:t xml:space="preserve">he UE </w:t>
      </w:r>
      <w:r>
        <w:rPr>
          <w:lang w:val="en-US"/>
        </w:rPr>
        <w:t>“</w:t>
      </w:r>
      <w:r w:rsidRPr="00413649">
        <w:rPr>
          <w:lang w:val="en-US"/>
        </w:rPr>
        <w:t>may</w:t>
      </w:r>
      <w:r>
        <w:rPr>
          <w:lang w:val="en-US"/>
        </w:rPr>
        <w:t>”</w:t>
      </w:r>
      <w:r w:rsidRPr="00413649">
        <w:rPr>
          <w:lang w:val="en-US"/>
        </w:rPr>
        <w:t xml:space="preserve"> perform early decoding and early validity check</w:t>
      </w:r>
      <w:r>
        <w:rPr>
          <w:lang w:val="en-US"/>
        </w:rPr>
        <w:t xml:space="preserve"> of the LTM candidate configurations. It is observed that this will be wasted effort if LTM execution is never triggered towards an LTM candidate for which the associated configuration had this early processing.</w:t>
      </w:r>
    </w:p>
    <w:p w14:paraId="4C3026EE" w14:textId="2BA6EDDC" w:rsidR="0004414E" w:rsidRDefault="0004414E" w:rsidP="0004414E">
      <w:pPr>
        <w:rPr>
          <w:b/>
          <w:bCs/>
        </w:rPr>
      </w:pPr>
      <w:r w:rsidRPr="00AD0BA4">
        <w:rPr>
          <w:b/>
          <w:bCs/>
        </w:rPr>
        <w:t xml:space="preserve">Observation </w:t>
      </w:r>
      <w:r>
        <w:rPr>
          <w:b/>
          <w:bCs/>
        </w:rPr>
        <w:t>1</w:t>
      </w:r>
      <w:r w:rsidRPr="00AD0BA4">
        <w:rPr>
          <w:b/>
          <w:bCs/>
        </w:rPr>
        <w:t>: Decoding and validation of a configuration of an LTM candidate cell is wasteful if LTM is never triggered towards that cell. </w:t>
      </w:r>
    </w:p>
    <w:p w14:paraId="6E5263FB" w14:textId="77777777" w:rsidR="0004414E" w:rsidRDefault="0004414E" w:rsidP="0004414E">
      <w:r>
        <w:t>This implies whether to do early decoding and validity check of an LTM candidate configuration should be the UE’s choice.</w:t>
      </w:r>
    </w:p>
    <w:p w14:paraId="69D2871F" w14:textId="1D2334EC" w:rsidR="0004414E" w:rsidRPr="00AD0BA4" w:rsidRDefault="0004414E" w:rsidP="0004414E">
      <w:pPr>
        <w:rPr>
          <w:b/>
          <w:bCs/>
        </w:rPr>
      </w:pPr>
      <w:r w:rsidRPr="00AD0BA4">
        <w:rPr>
          <w:b/>
          <w:bCs/>
        </w:rPr>
        <w:t xml:space="preserve">Proposal </w:t>
      </w:r>
      <w:r>
        <w:rPr>
          <w:b/>
          <w:bCs/>
        </w:rPr>
        <w:t>5</w:t>
      </w:r>
      <w:r w:rsidRPr="00AD0BA4">
        <w:rPr>
          <w:b/>
          <w:bCs/>
        </w:rPr>
        <w:t>: The UE is not expected to receive a request from the network to perform early decoding and early validity check of an LTM candidate configuration. </w:t>
      </w:r>
    </w:p>
    <w:p w14:paraId="4C96A2AD" w14:textId="77777777" w:rsidR="0004414E" w:rsidRPr="00D94A97" w:rsidRDefault="0004414E" w:rsidP="0004414E">
      <w:r>
        <w:t>Assuming the UE decodes an LTM candidate configuration and compliance check fails, it is not useful if the UE simply reports an error flag. On the other hand, providing a detailed report on which IEs in the LTM candidate configuration cause the compliance check failure may be an overwhelming task. Furthermore, the spec effort to determine how the UE identifies and reports compliance failure to portions of an RRC Reconfiguration message will be major.</w:t>
      </w:r>
    </w:p>
    <w:p w14:paraId="49EBAEB3" w14:textId="47EDCC3B" w:rsidR="0004414E" w:rsidRDefault="0004414E" w:rsidP="0004414E">
      <w:pPr>
        <w:rPr>
          <w:b/>
          <w:bCs/>
        </w:rPr>
      </w:pPr>
      <w:r w:rsidRPr="00AD0BA4">
        <w:rPr>
          <w:b/>
          <w:bCs/>
        </w:rPr>
        <w:t xml:space="preserve">Observation </w:t>
      </w:r>
      <w:r>
        <w:rPr>
          <w:b/>
          <w:bCs/>
        </w:rPr>
        <w:t>2</w:t>
      </w:r>
      <w:r w:rsidRPr="00AD0BA4">
        <w:rPr>
          <w:b/>
          <w:bCs/>
        </w:rPr>
        <w:t xml:space="preserve">a: </w:t>
      </w:r>
      <w:r>
        <w:rPr>
          <w:b/>
          <w:bCs/>
        </w:rPr>
        <w:t>Simple error flagging of an LTM candidate configuration is not useful.</w:t>
      </w:r>
    </w:p>
    <w:p w14:paraId="7199D96C" w14:textId="7809894C" w:rsidR="0004414E" w:rsidRDefault="0004414E" w:rsidP="0004414E">
      <w:pPr>
        <w:rPr>
          <w:b/>
          <w:bCs/>
        </w:rPr>
      </w:pPr>
      <w:r>
        <w:rPr>
          <w:b/>
          <w:bCs/>
        </w:rPr>
        <w:t xml:space="preserve">Observation 2b: </w:t>
      </w:r>
      <w:r w:rsidRPr="00AD0BA4">
        <w:rPr>
          <w:b/>
          <w:bCs/>
        </w:rPr>
        <w:t>The UE may be overchallenged to</w:t>
      </w:r>
      <w:r>
        <w:rPr>
          <w:b/>
          <w:bCs/>
        </w:rPr>
        <w:t xml:space="preserve"> provide a detailed</w:t>
      </w:r>
      <w:r w:rsidRPr="00AD0BA4">
        <w:rPr>
          <w:b/>
          <w:bCs/>
        </w:rPr>
        <w:t xml:space="preserve"> report </w:t>
      </w:r>
      <w:r>
        <w:rPr>
          <w:b/>
          <w:bCs/>
        </w:rPr>
        <w:t xml:space="preserve">of </w:t>
      </w:r>
      <w:r w:rsidRPr="00AD0BA4">
        <w:rPr>
          <w:b/>
          <w:bCs/>
        </w:rPr>
        <w:t>erroneous network configuration.</w:t>
      </w:r>
    </w:p>
    <w:p w14:paraId="3637009E" w14:textId="0ECF2E2E" w:rsidR="0004414E" w:rsidRDefault="0004414E" w:rsidP="0004414E">
      <w:pPr>
        <w:rPr>
          <w:b/>
          <w:bCs/>
        </w:rPr>
      </w:pPr>
      <w:r>
        <w:rPr>
          <w:b/>
          <w:bCs/>
        </w:rPr>
        <w:lastRenderedPageBreak/>
        <w:t>Observation 2c: The spec effort to determine how the UE identifies and reports IEs of an RRC Reconfiguration message for which compliance check fails is major.</w:t>
      </w:r>
    </w:p>
    <w:p w14:paraId="771F74F4" w14:textId="77777777" w:rsidR="0004414E" w:rsidRDefault="0004414E" w:rsidP="0004414E">
      <w:r>
        <w:t>Therefore, the simplest behavior of the UE is to re-establish RRC following legacy behavior.</w:t>
      </w:r>
    </w:p>
    <w:p w14:paraId="0CD6A064" w14:textId="063C8B45" w:rsidR="0004414E" w:rsidRDefault="0004414E" w:rsidP="0004414E">
      <w:pPr>
        <w:rPr>
          <w:b/>
          <w:bCs/>
        </w:rPr>
      </w:pPr>
      <w:r>
        <w:rPr>
          <w:b/>
          <w:bCs/>
        </w:rPr>
        <w:t xml:space="preserve">Observation </w:t>
      </w:r>
      <w:r w:rsidR="00A46AB5">
        <w:rPr>
          <w:b/>
          <w:bCs/>
        </w:rPr>
        <w:t>2</w:t>
      </w:r>
      <w:r>
        <w:rPr>
          <w:b/>
          <w:bCs/>
        </w:rPr>
        <w:t>d: The simplest behavior of the UE is to re-establish its RRC connection at compliance check failure for an LTM candidate cell.</w:t>
      </w:r>
    </w:p>
    <w:p w14:paraId="20D3D799" w14:textId="77777777" w:rsidR="0004414E" w:rsidRPr="00AD2E79" w:rsidRDefault="0004414E" w:rsidP="0004414E">
      <w:r>
        <w:t>On the other hand, performing connection re-establishment for compliance check of an LTM candidate configuration is too costly if LTM execution is never triggered to the corresponding LTM candidate cell.</w:t>
      </w:r>
    </w:p>
    <w:p w14:paraId="7A02D60E" w14:textId="51FCFE6C" w:rsidR="0004414E" w:rsidRPr="00AD0BA4" w:rsidRDefault="0004414E" w:rsidP="0004414E">
      <w:pPr>
        <w:rPr>
          <w:b/>
          <w:bCs/>
        </w:rPr>
      </w:pPr>
      <w:r w:rsidRPr="00AD0BA4">
        <w:rPr>
          <w:b/>
          <w:bCs/>
        </w:rPr>
        <w:t xml:space="preserve">Observation </w:t>
      </w:r>
      <w:r w:rsidR="00A46AB5">
        <w:rPr>
          <w:b/>
          <w:bCs/>
        </w:rPr>
        <w:t>2e</w:t>
      </w:r>
      <w:r w:rsidRPr="00AD0BA4">
        <w:rPr>
          <w:b/>
          <w:bCs/>
        </w:rPr>
        <w:t>: Reestablishing connection due to compliance check failure for a configuration of an LTM candidate cell is too costly if LTM execution is never triggered towards that cell. </w:t>
      </w:r>
    </w:p>
    <w:p w14:paraId="59DAD03E" w14:textId="77777777" w:rsidR="0004414E" w:rsidRPr="004E4B53" w:rsidRDefault="0004414E" w:rsidP="0004414E">
      <w:r>
        <w:t xml:space="preserve">Therefore, connection re-establishment due to compliance check failure should only be performed if LTM execution is triggered towards the corresponding LTM candidate cell.  </w:t>
      </w:r>
    </w:p>
    <w:p w14:paraId="5D199842" w14:textId="6C7A64D0" w:rsidR="00B53197" w:rsidRPr="00696C1B" w:rsidRDefault="0004414E" w:rsidP="0004414E">
      <w:r w:rsidRPr="00AD0BA4">
        <w:rPr>
          <w:b/>
          <w:bCs/>
        </w:rPr>
        <w:t xml:space="preserve">Proposal </w:t>
      </w:r>
      <w:r w:rsidR="00A46AB5">
        <w:rPr>
          <w:b/>
          <w:bCs/>
        </w:rPr>
        <w:t>6</w:t>
      </w:r>
      <w:r w:rsidRPr="00AD0BA4">
        <w:rPr>
          <w:b/>
          <w:bCs/>
        </w:rPr>
        <w:t>: The UE performs connection reestablishment due to compliance check failure for a candidate LTM configuration after LTM execution is triggered towards the corresponding LTM candidate cell.  </w:t>
      </w:r>
    </w:p>
    <w:p w14:paraId="7D628BEA" w14:textId="3684D1AE" w:rsidR="00E96FF8" w:rsidRPr="001D0EF4" w:rsidRDefault="00AE6C65" w:rsidP="001D0EF4">
      <w:pPr>
        <w:pStyle w:val="Heading1"/>
      </w:pPr>
      <w:r>
        <w:t>6</w:t>
      </w:r>
      <w:r w:rsidR="00A228FD">
        <w:tab/>
      </w:r>
      <w:r w:rsidR="001662B4">
        <w:t>Discussion on delta configuration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1"/>
      </w:tblGrid>
      <w:tr w:rsidR="00637338" w14:paraId="20C042F3" w14:textId="77777777" w:rsidTr="00701028">
        <w:tc>
          <w:tcPr>
            <w:tcW w:w="9631" w:type="dxa"/>
          </w:tcPr>
          <w:p w14:paraId="57B6F420" w14:textId="0C03B25A" w:rsidR="00637338" w:rsidRDefault="00701028" w:rsidP="00A912E7">
            <w:pPr>
              <w:jc w:val="center"/>
            </w:pPr>
            <w:r>
              <w:rPr>
                <w:noProof/>
              </w:rPr>
              <w:drawing>
                <wp:inline distT="0" distB="0" distL="0" distR="0" wp14:anchorId="04DDEDCE" wp14:editId="29EE6B9F">
                  <wp:extent cx="3948788" cy="24841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960082" cy="2491225"/>
                          </a:xfrm>
                          <a:prstGeom prst="rect">
                            <a:avLst/>
                          </a:prstGeom>
                        </pic:spPr>
                      </pic:pic>
                    </a:graphicData>
                  </a:graphic>
                </wp:inline>
              </w:drawing>
            </w:r>
          </w:p>
        </w:tc>
      </w:tr>
      <w:tr w:rsidR="00637338" w14:paraId="2BE619D2" w14:textId="77777777" w:rsidTr="00701028">
        <w:tc>
          <w:tcPr>
            <w:tcW w:w="9631" w:type="dxa"/>
          </w:tcPr>
          <w:p w14:paraId="0AD51728" w14:textId="500E61AE" w:rsidR="00637338" w:rsidRPr="00C66876" w:rsidRDefault="00A912E7" w:rsidP="00A912E7">
            <w:pPr>
              <w:jc w:val="center"/>
              <w:rPr>
                <w:b/>
                <w:bCs/>
              </w:rPr>
            </w:pPr>
            <w:r w:rsidRPr="00C66876">
              <w:rPr>
                <w:b/>
                <w:bCs/>
              </w:rPr>
              <w:t xml:space="preserve">Figure 1: </w:t>
            </w:r>
            <w:r w:rsidR="00A06C95" w:rsidRPr="00C66876">
              <w:rPr>
                <w:b/>
                <w:bCs/>
              </w:rPr>
              <w:t>Efficient delta signaling in PCell/SCell-swap LTM scenario</w:t>
            </w:r>
          </w:p>
        </w:tc>
      </w:tr>
    </w:tbl>
    <w:p w14:paraId="5CF3021D" w14:textId="77777777" w:rsidR="00C612B8" w:rsidRDefault="00C612B8" w:rsidP="00C612B8">
      <w:r>
        <w:t>RAN2#119bis-e agreed that a candidate LTM PCell may be a current serving SCell, and a candidate LTM SCell may be a current serving PCell. This implies that a PCell of one candidate LTM cell group be the same as an SCell of another candidate LTM cell group.</w:t>
      </w:r>
    </w:p>
    <w:p w14:paraId="71A4F5E3" w14:textId="61755D09" w:rsidR="00C612B8" w:rsidRDefault="00C612B8" w:rsidP="00C612B8">
      <w:pPr>
        <w:rPr>
          <w:b/>
          <w:bCs/>
        </w:rPr>
      </w:pPr>
      <w:r>
        <w:rPr>
          <w:b/>
          <w:bCs/>
        </w:rPr>
        <w:t xml:space="preserve">Observation </w:t>
      </w:r>
      <w:r w:rsidR="00A36E10">
        <w:rPr>
          <w:b/>
          <w:bCs/>
        </w:rPr>
        <w:t>3</w:t>
      </w:r>
      <w:r>
        <w:rPr>
          <w:b/>
          <w:bCs/>
        </w:rPr>
        <w:t>a: A PCell of one candidate LTM cell group and an SCell of another candidate LTM cell group may be the same.</w:t>
      </w:r>
    </w:p>
    <w:p w14:paraId="3052ACA0" w14:textId="41E8326F" w:rsidR="001A7C5A" w:rsidRDefault="00E5765F" w:rsidP="00A61839">
      <w:r>
        <w:t>Figure 1 illustrates the PCell/SCell</w:t>
      </w:r>
      <w:r w:rsidR="0074426B">
        <w:t>-</w:t>
      </w:r>
      <w:r>
        <w:t xml:space="preserve">swap </w:t>
      </w:r>
      <w:r w:rsidR="00F11DF0">
        <w:t xml:space="preserve">LTM scenario </w:t>
      </w:r>
      <w:r w:rsidR="0083352A">
        <w:t xml:space="preserve">where the UE switches b/w </w:t>
      </w:r>
      <w:r w:rsidR="00F01F47">
        <w:t>two candidate cell groups</w:t>
      </w:r>
      <w:r w:rsidR="001A7C5A">
        <w:t>:</w:t>
      </w:r>
    </w:p>
    <w:p w14:paraId="3CA14A37" w14:textId="47921936" w:rsidR="001A7C5A" w:rsidRDefault="009579AC" w:rsidP="001A7C5A">
      <w:pPr>
        <w:pStyle w:val="ListParagraph"/>
        <w:numPr>
          <w:ilvl w:val="0"/>
          <w:numId w:val="17"/>
        </w:numPr>
      </w:pPr>
      <w:r>
        <w:t>Candidate CG</w:t>
      </w:r>
      <w:r w:rsidR="001A7C5A">
        <w:t xml:space="preserve"> 1 that comprises Cell1 as a PCell and Cell2 as an SCell</w:t>
      </w:r>
    </w:p>
    <w:p w14:paraId="52146F24" w14:textId="42D4F3FF" w:rsidR="001A7C5A" w:rsidRDefault="009579AC" w:rsidP="001A7C5A">
      <w:pPr>
        <w:pStyle w:val="ListParagraph"/>
        <w:numPr>
          <w:ilvl w:val="0"/>
          <w:numId w:val="17"/>
        </w:numPr>
      </w:pPr>
      <w:r>
        <w:t>Candidate CG</w:t>
      </w:r>
      <w:r w:rsidR="001A7C5A">
        <w:t xml:space="preserve"> 2 that comprises Cell2 as a PCell and Cell1 as an SCell</w:t>
      </w:r>
    </w:p>
    <w:p w14:paraId="607A001F" w14:textId="4966DE69" w:rsidR="00C612B8" w:rsidRDefault="00A61839" w:rsidP="0002693E">
      <w:r>
        <w:t xml:space="preserve">In this scenario, </w:t>
      </w:r>
      <w:r w:rsidR="00C612B8">
        <w:t xml:space="preserve">using a common reference cell configuration </w:t>
      </w:r>
      <w:r w:rsidR="009579AC">
        <w:t xml:space="preserve">for </w:t>
      </w:r>
      <w:r w:rsidR="00593D72">
        <w:t xml:space="preserve">delta signaling of </w:t>
      </w:r>
      <w:r w:rsidR="009579AC">
        <w:t xml:space="preserve">the PCell </w:t>
      </w:r>
      <w:r w:rsidR="009B0F6E">
        <w:t xml:space="preserve">config </w:t>
      </w:r>
      <w:r w:rsidR="009579AC">
        <w:t xml:space="preserve">of </w:t>
      </w:r>
      <w:r w:rsidR="00593D72">
        <w:t xml:space="preserve">candidate </w:t>
      </w:r>
      <w:r w:rsidR="009579AC">
        <w:t xml:space="preserve">CG1 </w:t>
      </w:r>
      <w:r w:rsidR="005759D8">
        <w:t xml:space="preserve">and </w:t>
      </w:r>
      <w:r w:rsidR="00593D72">
        <w:t xml:space="preserve">the SCell </w:t>
      </w:r>
      <w:r w:rsidR="009B0F6E">
        <w:t xml:space="preserve">config </w:t>
      </w:r>
      <w:r w:rsidR="00593D72">
        <w:t xml:space="preserve">of candidate CG2 is the most efficient. Similarly, </w:t>
      </w:r>
      <w:r w:rsidR="003468B9">
        <w:t xml:space="preserve">using a common reference cell configuration for delta signaling of the SCell config of candidate CG1 </w:t>
      </w:r>
      <w:r w:rsidR="00284D00">
        <w:t xml:space="preserve">and </w:t>
      </w:r>
      <w:r w:rsidR="003468B9">
        <w:t>the PCell config of candidate CG2 is the most efficient</w:t>
      </w:r>
      <w:r w:rsidR="0002693E">
        <w:t>.</w:t>
      </w:r>
    </w:p>
    <w:p w14:paraId="43638C70" w14:textId="44CFF769" w:rsidR="00C612B8" w:rsidRDefault="00C612B8" w:rsidP="00C612B8">
      <w:pPr>
        <w:rPr>
          <w:b/>
          <w:bCs/>
        </w:rPr>
      </w:pPr>
      <w:r>
        <w:rPr>
          <w:b/>
          <w:bCs/>
        </w:rPr>
        <w:t xml:space="preserve">Observation </w:t>
      </w:r>
      <w:r w:rsidR="00A36E10">
        <w:rPr>
          <w:b/>
          <w:bCs/>
        </w:rPr>
        <w:t>3</w:t>
      </w:r>
      <w:r>
        <w:rPr>
          <w:b/>
          <w:bCs/>
        </w:rPr>
        <w:t>b: If the same cell is a PCell in one candidate LTM cell group and an SCell in another candidate LTM cell group, using a common reference cell configuration to configure delta signaling for this cell is the most efficient.</w:t>
      </w:r>
    </w:p>
    <w:p w14:paraId="5D0F8318" w14:textId="77777777" w:rsidR="00C612B8" w:rsidRDefault="00C612B8" w:rsidP="00C612B8">
      <w:r>
        <w:t>Consequently, configuring a PCell with respect to a reference SCell configuration and configuring an SCell with respect to a reference SpCell configuration should be supported.</w:t>
      </w:r>
    </w:p>
    <w:p w14:paraId="37252AD4" w14:textId="0C492723" w:rsidR="00C612B8" w:rsidRDefault="00C612B8" w:rsidP="00C612B8">
      <w:pPr>
        <w:rPr>
          <w:b/>
          <w:bCs/>
        </w:rPr>
      </w:pPr>
      <w:r>
        <w:rPr>
          <w:b/>
          <w:bCs/>
        </w:rPr>
        <w:lastRenderedPageBreak/>
        <w:t xml:space="preserve">Proposal </w:t>
      </w:r>
      <w:r w:rsidR="001D0EF4">
        <w:rPr>
          <w:b/>
          <w:bCs/>
        </w:rPr>
        <w:t>7</w:t>
      </w:r>
      <w:r w:rsidR="00D36B2F">
        <w:rPr>
          <w:b/>
          <w:bCs/>
        </w:rPr>
        <w:t>a</w:t>
      </w:r>
      <w:r>
        <w:rPr>
          <w:b/>
          <w:bCs/>
        </w:rPr>
        <w:t xml:space="preserve">: An SpCellConfig IE </w:t>
      </w:r>
      <w:r w:rsidR="00314EDF">
        <w:rPr>
          <w:b/>
          <w:bCs/>
        </w:rPr>
        <w:t xml:space="preserve">of </w:t>
      </w:r>
      <w:r w:rsidR="006C1850">
        <w:rPr>
          <w:b/>
          <w:bCs/>
        </w:rPr>
        <w:t xml:space="preserve">the CellGroupConfig IE </w:t>
      </w:r>
      <w:r w:rsidR="003D3389">
        <w:rPr>
          <w:b/>
          <w:bCs/>
        </w:rPr>
        <w:t>of the</w:t>
      </w:r>
      <w:r w:rsidR="00314EDF">
        <w:rPr>
          <w:b/>
          <w:bCs/>
        </w:rPr>
        <w:t xml:space="preserve"> candidate </w:t>
      </w:r>
      <w:r w:rsidR="006C1850">
        <w:rPr>
          <w:b/>
          <w:bCs/>
        </w:rPr>
        <w:t>RRC re</w:t>
      </w:r>
      <w:r w:rsidR="00314EDF">
        <w:rPr>
          <w:b/>
          <w:bCs/>
        </w:rPr>
        <w:t>configuration</w:t>
      </w:r>
      <w:r w:rsidR="003D3389">
        <w:rPr>
          <w:b/>
          <w:bCs/>
        </w:rPr>
        <w:t xml:space="preserve"> IE</w:t>
      </w:r>
      <w:r w:rsidR="00314EDF">
        <w:rPr>
          <w:b/>
          <w:bCs/>
        </w:rPr>
        <w:t xml:space="preserve"> </w:t>
      </w:r>
      <w:r>
        <w:rPr>
          <w:b/>
          <w:bCs/>
        </w:rPr>
        <w:t>may use delta signaling wrt to either a reference SpCellConfig IE or a reference SCellConfig IE</w:t>
      </w:r>
      <w:r w:rsidR="00D12C8F">
        <w:rPr>
          <w:b/>
          <w:bCs/>
        </w:rPr>
        <w:t xml:space="preserve"> of the </w:t>
      </w:r>
      <w:r w:rsidR="00D12C8F" w:rsidRPr="004E0137">
        <w:rPr>
          <w:b/>
          <w:bCs/>
        </w:rPr>
        <w:t>reference CellGroupConfig IE</w:t>
      </w:r>
      <w:r w:rsidR="00D12C8F">
        <w:rPr>
          <w:b/>
          <w:bCs/>
        </w:rPr>
        <w:t xml:space="preserve"> of the </w:t>
      </w:r>
      <w:r w:rsidR="00355989" w:rsidRPr="00F2288F">
        <w:rPr>
          <w:b/>
          <w:bCs/>
        </w:rPr>
        <w:t>reference configuration</w:t>
      </w:r>
      <w:r>
        <w:rPr>
          <w:b/>
          <w:bCs/>
        </w:rPr>
        <w:t>.</w:t>
      </w:r>
    </w:p>
    <w:p w14:paraId="4961748D" w14:textId="3AFEB3D2" w:rsidR="008732B8" w:rsidRPr="00BB2276" w:rsidRDefault="00C612B8" w:rsidP="008732B8">
      <w:pPr>
        <w:rPr>
          <w:b/>
          <w:bCs/>
        </w:rPr>
      </w:pPr>
      <w:r>
        <w:rPr>
          <w:b/>
          <w:bCs/>
        </w:rPr>
        <w:t xml:space="preserve">Proposal </w:t>
      </w:r>
      <w:r w:rsidR="001D0EF4">
        <w:rPr>
          <w:b/>
          <w:bCs/>
        </w:rPr>
        <w:t>7</w:t>
      </w:r>
      <w:r w:rsidR="00D36B2F">
        <w:rPr>
          <w:b/>
          <w:bCs/>
        </w:rPr>
        <w:t>b</w:t>
      </w:r>
      <w:r>
        <w:rPr>
          <w:b/>
          <w:bCs/>
        </w:rPr>
        <w:t xml:space="preserve">: An SCellConfig IE </w:t>
      </w:r>
      <w:r w:rsidR="00DB6424">
        <w:rPr>
          <w:b/>
          <w:bCs/>
        </w:rPr>
        <w:t xml:space="preserve">of the CellGroupConfig IE of the candidate RRC reconfiguration IE </w:t>
      </w:r>
      <w:r>
        <w:rPr>
          <w:b/>
          <w:bCs/>
        </w:rPr>
        <w:t>may use delta signaling wrt to either a reference SpCellConfig IE or a reference SCellConfig IE</w:t>
      </w:r>
      <w:r w:rsidR="00DB6424">
        <w:rPr>
          <w:b/>
          <w:bCs/>
        </w:rPr>
        <w:t xml:space="preserve"> of the </w:t>
      </w:r>
      <w:r w:rsidR="00DB6424" w:rsidRPr="004E0137">
        <w:rPr>
          <w:b/>
          <w:bCs/>
        </w:rPr>
        <w:t>reference CellGroupConfig IE</w:t>
      </w:r>
      <w:r w:rsidR="00DB6424">
        <w:rPr>
          <w:b/>
          <w:bCs/>
        </w:rPr>
        <w:t xml:space="preserve"> of the </w:t>
      </w:r>
      <w:r w:rsidR="00DB6424" w:rsidRPr="00F2288F">
        <w:rPr>
          <w:b/>
          <w:bCs/>
        </w:rPr>
        <w:t>reference configuration</w:t>
      </w:r>
      <w:r>
        <w:rPr>
          <w:b/>
          <w:bCs/>
        </w:rPr>
        <w:t>.</w:t>
      </w:r>
    </w:p>
    <w:p w14:paraId="23DA704C" w14:textId="0DB1EF42" w:rsidR="0096408F" w:rsidRDefault="0096408F" w:rsidP="0096408F">
      <w:pPr>
        <w:pStyle w:val="Heading1"/>
      </w:pPr>
      <w:r>
        <w:t>Conclusion</w:t>
      </w:r>
    </w:p>
    <w:p w14:paraId="4199532F" w14:textId="11713DEA" w:rsidR="00D5621D" w:rsidRDefault="008F2D46" w:rsidP="004B3659">
      <w:pPr>
        <w:spacing w:after="120"/>
        <w:rPr>
          <w:b/>
          <w:bCs/>
        </w:rPr>
      </w:pPr>
      <w:r>
        <w:t>This contribution discussed various RRC configuration aspects of LTM including configuring a serving cell as candidate for subsequent LTM, L2 reset and L1 measurements/reporting. This contribution also discussed early decoding and delta configuration</w:t>
      </w:r>
      <w:r w:rsidR="003C6E89">
        <w:t>.</w:t>
      </w:r>
      <w:r w:rsidR="00D5621D">
        <w:t xml:space="preserve"> The following</w:t>
      </w:r>
      <w:r w:rsidR="009F64AF">
        <w:t xml:space="preserve"> observations and</w:t>
      </w:r>
      <w:r w:rsidR="00D5621D">
        <w:t xml:space="preserve"> proposal</w:t>
      </w:r>
      <w:r w:rsidR="009F64AF">
        <w:t>s</w:t>
      </w:r>
      <w:r w:rsidR="00D5621D">
        <w:t xml:space="preserve"> ha</w:t>
      </w:r>
      <w:r w:rsidR="009F64AF">
        <w:t>ve</w:t>
      </w:r>
      <w:r w:rsidR="00D5621D">
        <w:t xml:space="preserve"> been made:</w:t>
      </w:r>
    </w:p>
    <w:p w14:paraId="2206309D" w14:textId="57242245" w:rsidR="004B3659" w:rsidRDefault="004B3659" w:rsidP="004B3659">
      <w:pPr>
        <w:spacing w:after="120"/>
        <w:rPr>
          <w:b/>
          <w:bCs/>
        </w:rPr>
      </w:pPr>
    </w:p>
    <w:p w14:paraId="712859B8" w14:textId="254BA4B0" w:rsidR="00900B9A" w:rsidRPr="002C07D8" w:rsidRDefault="00900B9A" w:rsidP="004B3659">
      <w:pPr>
        <w:spacing w:after="120"/>
        <w:rPr>
          <w:u w:val="single"/>
        </w:rPr>
      </w:pPr>
      <w:r w:rsidRPr="002C07D8">
        <w:rPr>
          <w:u w:val="single"/>
        </w:rPr>
        <w:t>Current CG is candidate for subsequent LTM:</w:t>
      </w:r>
    </w:p>
    <w:p w14:paraId="1BF12520" w14:textId="77777777" w:rsidR="00900B9A" w:rsidRDefault="00900B9A" w:rsidP="00900B9A">
      <w:pPr>
        <w:spacing w:after="0"/>
        <w:rPr>
          <w:b/>
          <w:bCs/>
        </w:rPr>
      </w:pPr>
      <w:r>
        <w:rPr>
          <w:b/>
          <w:bCs/>
        </w:rPr>
        <w:t>Proposal 1: RAN2 to discuss the following options to configure the UE’s current serving cell group as an LTM candidate for subsequent LTM:</w:t>
      </w:r>
    </w:p>
    <w:p w14:paraId="0D29FB6B" w14:textId="77777777" w:rsidR="00900B9A" w:rsidRDefault="00900B9A" w:rsidP="00900B9A">
      <w:pPr>
        <w:spacing w:after="0"/>
        <w:rPr>
          <w:b/>
          <w:bCs/>
        </w:rPr>
      </w:pPr>
      <w:r>
        <w:rPr>
          <w:b/>
          <w:bCs/>
        </w:rPr>
        <w:t>-</w:t>
      </w:r>
      <w:r>
        <w:rPr>
          <w:b/>
          <w:bCs/>
        </w:rPr>
        <w:tab/>
        <w:t>Option 1: During LTM preparation, the UE receives a list of LTM candidate configs + IDs, one of which corresponds to the UE’s current serving cell group, where the UE immediately applies the RRCReconfiguration of that list member to be able to perform the necessary LTM-related procedures before the LTM cell switch.</w:t>
      </w:r>
    </w:p>
    <w:p w14:paraId="1E9EF397" w14:textId="77777777" w:rsidR="00900B9A" w:rsidRPr="00B10B69" w:rsidRDefault="00900B9A" w:rsidP="00900B9A">
      <w:pPr>
        <w:spacing w:after="0"/>
        <w:rPr>
          <w:b/>
          <w:bCs/>
        </w:rPr>
      </w:pPr>
      <w:r>
        <w:rPr>
          <w:b/>
          <w:bCs/>
        </w:rPr>
        <w:t>-</w:t>
      </w:r>
      <w:r>
        <w:rPr>
          <w:b/>
          <w:bCs/>
        </w:rPr>
        <w:tab/>
        <w:t>Option 2: During LTM preparation, the UE receives a list of LTM candidate configs + IDs, none of which corresponds to the UE’s current serving cell group. The UE additionally receives a separate configuration update for its current serving cell group, which assigns a candidate ID to the current serving cell group and provides LTM-related configuration that the UE needs to perform the necessary LTM-related procedures before the LTM cell switch.</w:t>
      </w:r>
    </w:p>
    <w:p w14:paraId="442D816F" w14:textId="77777777" w:rsidR="00900B9A" w:rsidRDefault="00900B9A" w:rsidP="004B3659">
      <w:pPr>
        <w:spacing w:after="120"/>
        <w:rPr>
          <w:b/>
          <w:bCs/>
        </w:rPr>
      </w:pPr>
    </w:p>
    <w:p w14:paraId="6F1C4356" w14:textId="49900D3F" w:rsidR="00900B9A" w:rsidRPr="002C07D8" w:rsidRDefault="002C07D8" w:rsidP="004B3659">
      <w:pPr>
        <w:spacing w:after="120"/>
        <w:rPr>
          <w:u w:val="single"/>
        </w:rPr>
      </w:pPr>
      <w:r w:rsidRPr="002C07D8">
        <w:rPr>
          <w:u w:val="single"/>
        </w:rPr>
        <w:t>L2 reset:</w:t>
      </w:r>
    </w:p>
    <w:p w14:paraId="269FFAD7" w14:textId="77777777" w:rsidR="00A4289C" w:rsidRDefault="00A4289C" w:rsidP="00A4289C">
      <w:pPr>
        <w:rPr>
          <w:b/>
          <w:bCs/>
        </w:rPr>
      </w:pPr>
      <w:r>
        <w:rPr>
          <w:b/>
          <w:bCs/>
        </w:rPr>
        <w:t xml:space="preserve">Proposal 2a: To determine whether to perform RLC reestablishment and PDCP recovery, </w:t>
      </w:r>
      <w:r w:rsidRPr="00EB1464">
        <w:rPr>
          <w:b/>
          <w:bCs/>
        </w:rPr>
        <w:t>RRC provides partitioning of the candidate LTM configurations into sets during LTM preparation.</w:t>
      </w:r>
      <w:r>
        <w:rPr>
          <w:b/>
          <w:bCs/>
        </w:rPr>
        <w:t xml:space="preserve"> At LTM execution, the UE performs these steps if the source configuration and the target configuration fall into different sets. The UE skips these steps otherwise.</w:t>
      </w:r>
    </w:p>
    <w:p w14:paraId="6266CD77" w14:textId="77777777" w:rsidR="00A4289C" w:rsidRDefault="00A4289C" w:rsidP="00A4289C">
      <w:pPr>
        <w:rPr>
          <w:b/>
          <w:bCs/>
        </w:rPr>
      </w:pPr>
      <w:r w:rsidRPr="00383801">
        <w:rPr>
          <w:b/>
          <w:bCs/>
        </w:rPr>
        <w:t xml:space="preserve">Proposal </w:t>
      </w:r>
      <w:r>
        <w:rPr>
          <w:b/>
          <w:bCs/>
        </w:rPr>
        <w:t>2</w:t>
      </w:r>
      <w:r w:rsidRPr="00383801">
        <w:rPr>
          <w:b/>
          <w:bCs/>
        </w:rPr>
        <w:t xml:space="preserve">b: Separate RRC </w:t>
      </w:r>
      <w:r>
        <w:rPr>
          <w:b/>
          <w:bCs/>
        </w:rPr>
        <w:t xml:space="preserve">partitioning is configured </w:t>
      </w:r>
      <w:r w:rsidRPr="00383801">
        <w:rPr>
          <w:b/>
          <w:bCs/>
        </w:rPr>
        <w:t>to determine whether to perform RLC reestablishment</w:t>
      </w:r>
      <w:r>
        <w:rPr>
          <w:b/>
          <w:bCs/>
        </w:rPr>
        <w:t xml:space="preserve"> or PDCP recovery.</w:t>
      </w:r>
    </w:p>
    <w:p w14:paraId="0E80D8CD" w14:textId="3ECE6292" w:rsidR="002C07D8" w:rsidRDefault="002C07D8" w:rsidP="004B3659">
      <w:pPr>
        <w:spacing w:after="120"/>
      </w:pPr>
    </w:p>
    <w:p w14:paraId="697F9C69" w14:textId="53F2AB51" w:rsidR="00A4289C" w:rsidRPr="00A4289C" w:rsidRDefault="00A4289C" w:rsidP="004B3659">
      <w:pPr>
        <w:spacing w:after="120"/>
        <w:rPr>
          <w:u w:val="single"/>
        </w:rPr>
      </w:pPr>
      <w:r w:rsidRPr="00A4289C">
        <w:rPr>
          <w:u w:val="single"/>
        </w:rPr>
        <w:t>L1 measurement/reporting:</w:t>
      </w:r>
    </w:p>
    <w:p w14:paraId="11236905" w14:textId="77777777" w:rsidR="00447102" w:rsidRPr="00583FB8" w:rsidRDefault="00447102" w:rsidP="00447102">
      <w:pPr>
        <w:rPr>
          <w:b/>
          <w:bCs/>
        </w:rPr>
      </w:pPr>
      <w:r>
        <w:rPr>
          <w:b/>
          <w:bCs/>
        </w:rPr>
        <w:t xml:space="preserve">Proposal 3: RAN2 to confirm that the UE receives separate reporting configurations within the </w:t>
      </w:r>
      <w:r w:rsidRPr="002B3E0B">
        <w:rPr>
          <w:b/>
          <w:bCs/>
        </w:rPr>
        <w:t>ServingCellConfig</w:t>
      </w:r>
      <w:r>
        <w:rPr>
          <w:b/>
          <w:bCs/>
        </w:rPr>
        <w:t xml:space="preserve"> of each of the current serving cell and the candidate cells. The UE applies the reporting configuration of the current serving cell before the cell switch and that of the target cell after the cell switch.</w:t>
      </w:r>
    </w:p>
    <w:p w14:paraId="1680A256" w14:textId="77777777" w:rsidR="00447102" w:rsidRDefault="00447102" w:rsidP="00447102">
      <w:pPr>
        <w:rPr>
          <w:b/>
          <w:bCs/>
        </w:rPr>
      </w:pPr>
      <w:r w:rsidRPr="00954F57">
        <w:rPr>
          <w:b/>
          <w:bCs/>
        </w:rPr>
        <w:t xml:space="preserve">Proposal </w:t>
      </w:r>
      <w:r>
        <w:rPr>
          <w:b/>
          <w:bCs/>
        </w:rPr>
        <w:t>4</w:t>
      </w:r>
      <w:r w:rsidRPr="00954F57">
        <w:rPr>
          <w:b/>
          <w:bCs/>
        </w:rPr>
        <w:t>: LTM specific L1 measurements of an LTM candidate cell that is also a current serving SCell is independent of the activation status of that SCell.</w:t>
      </w:r>
    </w:p>
    <w:p w14:paraId="52296FB9" w14:textId="77777777" w:rsidR="00A4289C" w:rsidRDefault="00A4289C" w:rsidP="004B3659">
      <w:pPr>
        <w:spacing w:after="120"/>
      </w:pPr>
    </w:p>
    <w:p w14:paraId="29F277CF" w14:textId="65836935" w:rsidR="006D6BA6" w:rsidRPr="006D6BA6" w:rsidRDefault="006D6BA6" w:rsidP="004B3659">
      <w:pPr>
        <w:spacing w:after="120"/>
        <w:rPr>
          <w:u w:val="single"/>
        </w:rPr>
      </w:pPr>
      <w:r w:rsidRPr="006D6BA6">
        <w:rPr>
          <w:u w:val="single"/>
        </w:rPr>
        <w:t>Early decoding:</w:t>
      </w:r>
    </w:p>
    <w:p w14:paraId="34293F05" w14:textId="77777777" w:rsidR="006D6BA6" w:rsidRDefault="006D6BA6" w:rsidP="006D6BA6">
      <w:pPr>
        <w:rPr>
          <w:b/>
          <w:bCs/>
        </w:rPr>
      </w:pPr>
      <w:r w:rsidRPr="00AD0BA4">
        <w:rPr>
          <w:b/>
          <w:bCs/>
        </w:rPr>
        <w:t xml:space="preserve">Observation </w:t>
      </w:r>
      <w:r>
        <w:rPr>
          <w:b/>
          <w:bCs/>
        </w:rPr>
        <w:t>1</w:t>
      </w:r>
      <w:r w:rsidRPr="00AD0BA4">
        <w:rPr>
          <w:b/>
          <w:bCs/>
        </w:rPr>
        <w:t>: Decoding and validation of a configuration of an LTM candidate cell is wasteful if LTM is never triggered towards that cell. </w:t>
      </w:r>
    </w:p>
    <w:p w14:paraId="2D638546" w14:textId="77777777" w:rsidR="006D6BA6" w:rsidRPr="00AD0BA4" w:rsidRDefault="006D6BA6" w:rsidP="006D6BA6">
      <w:pPr>
        <w:rPr>
          <w:b/>
          <w:bCs/>
        </w:rPr>
      </w:pPr>
      <w:r w:rsidRPr="00AD0BA4">
        <w:rPr>
          <w:b/>
          <w:bCs/>
        </w:rPr>
        <w:t xml:space="preserve">Proposal </w:t>
      </w:r>
      <w:r>
        <w:rPr>
          <w:b/>
          <w:bCs/>
        </w:rPr>
        <w:t>5</w:t>
      </w:r>
      <w:r w:rsidRPr="00AD0BA4">
        <w:rPr>
          <w:b/>
          <w:bCs/>
        </w:rPr>
        <w:t>: The UE is not expected to receive a request from the network to perform early decoding and early validity check of an LTM candidate configuration. </w:t>
      </w:r>
    </w:p>
    <w:p w14:paraId="5DFC9BD4" w14:textId="77777777" w:rsidR="006D6BA6" w:rsidRDefault="006D6BA6" w:rsidP="006D6BA6">
      <w:pPr>
        <w:rPr>
          <w:b/>
          <w:bCs/>
        </w:rPr>
      </w:pPr>
      <w:r w:rsidRPr="00AD0BA4">
        <w:rPr>
          <w:b/>
          <w:bCs/>
        </w:rPr>
        <w:t xml:space="preserve">Observation </w:t>
      </w:r>
      <w:r>
        <w:rPr>
          <w:b/>
          <w:bCs/>
        </w:rPr>
        <w:t>2</w:t>
      </w:r>
      <w:r w:rsidRPr="00AD0BA4">
        <w:rPr>
          <w:b/>
          <w:bCs/>
        </w:rPr>
        <w:t xml:space="preserve">a: </w:t>
      </w:r>
      <w:r>
        <w:rPr>
          <w:b/>
          <w:bCs/>
        </w:rPr>
        <w:t>Simple error flagging of an LTM candidate configuration is not useful.</w:t>
      </w:r>
    </w:p>
    <w:p w14:paraId="3EF30635" w14:textId="77777777" w:rsidR="006D6BA6" w:rsidRDefault="006D6BA6" w:rsidP="006D6BA6">
      <w:pPr>
        <w:rPr>
          <w:b/>
          <w:bCs/>
        </w:rPr>
      </w:pPr>
      <w:r>
        <w:rPr>
          <w:b/>
          <w:bCs/>
        </w:rPr>
        <w:t xml:space="preserve">Observation 2b: </w:t>
      </w:r>
      <w:r w:rsidRPr="00AD0BA4">
        <w:rPr>
          <w:b/>
          <w:bCs/>
        </w:rPr>
        <w:t>The UE may be overchallenged to</w:t>
      </w:r>
      <w:r>
        <w:rPr>
          <w:b/>
          <w:bCs/>
        </w:rPr>
        <w:t xml:space="preserve"> provide a detailed</w:t>
      </w:r>
      <w:r w:rsidRPr="00AD0BA4">
        <w:rPr>
          <w:b/>
          <w:bCs/>
        </w:rPr>
        <w:t xml:space="preserve"> report </w:t>
      </w:r>
      <w:r>
        <w:rPr>
          <w:b/>
          <w:bCs/>
        </w:rPr>
        <w:t xml:space="preserve">of </w:t>
      </w:r>
      <w:r w:rsidRPr="00AD0BA4">
        <w:rPr>
          <w:b/>
          <w:bCs/>
        </w:rPr>
        <w:t>erroneous network configuration.</w:t>
      </w:r>
    </w:p>
    <w:p w14:paraId="0C41F234" w14:textId="77777777" w:rsidR="006D6BA6" w:rsidRDefault="006D6BA6" w:rsidP="006D6BA6">
      <w:pPr>
        <w:rPr>
          <w:b/>
          <w:bCs/>
        </w:rPr>
      </w:pPr>
      <w:r>
        <w:rPr>
          <w:b/>
          <w:bCs/>
        </w:rPr>
        <w:t>Observation 2c: The spec effort to determine how the UE identifies and reports IEs of an RRC Reconfiguration message for which compliance check fails is major.</w:t>
      </w:r>
    </w:p>
    <w:p w14:paraId="58F56B4A" w14:textId="77777777" w:rsidR="006D6BA6" w:rsidRDefault="006D6BA6" w:rsidP="006D6BA6">
      <w:pPr>
        <w:rPr>
          <w:b/>
          <w:bCs/>
        </w:rPr>
      </w:pPr>
      <w:r>
        <w:rPr>
          <w:b/>
          <w:bCs/>
        </w:rPr>
        <w:lastRenderedPageBreak/>
        <w:t>Observation 2d: The simplest behavior of the UE is to re-establish its RRC connection at compliance check failure for an LTM candidate cell.</w:t>
      </w:r>
    </w:p>
    <w:p w14:paraId="5A21CAC6" w14:textId="77777777" w:rsidR="006D6BA6" w:rsidRPr="00AD0BA4" w:rsidRDefault="006D6BA6" w:rsidP="006D6BA6">
      <w:pPr>
        <w:rPr>
          <w:b/>
          <w:bCs/>
        </w:rPr>
      </w:pPr>
      <w:r w:rsidRPr="00AD0BA4">
        <w:rPr>
          <w:b/>
          <w:bCs/>
        </w:rPr>
        <w:t xml:space="preserve">Observation </w:t>
      </w:r>
      <w:r>
        <w:rPr>
          <w:b/>
          <w:bCs/>
        </w:rPr>
        <w:t>2e</w:t>
      </w:r>
      <w:r w:rsidRPr="00AD0BA4">
        <w:rPr>
          <w:b/>
          <w:bCs/>
        </w:rPr>
        <w:t>: Reestablishing connection due to compliance check failure for a configuration of an LTM candidate cell is too costly if LTM execution is never triggered towards that cell. </w:t>
      </w:r>
    </w:p>
    <w:p w14:paraId="5D6D066A" w14:textId="77777777" w:rsidR="006D6BA6" w:rsidRPr="00696C1B" w:rsidRDefault="006D6BA6" w:rsidP="006D6BA6">
      <w:r w:rsidRPr="00AD0BA4">
        <w:rPr>
          <w:b/>
          <w:bCs/>
        </w:rPr>
        <w:t xml:space="preserve">Proposal </w:t>
      </w:r>
      <w:r>
        <w:rPr>
          <w:b/>
          <w:bCs/>
        </w:rPr>
        <w:t>6</w:t>
      </w:r>
      <w:r w:rsidRPr="00AD0BA4">
        <w:rPr>
          <w:b/>
          <w:bCs/>
        </w:rPr>
        <w:t>: The UE performs connection reestablishment due to compliance check failure for a candidate LTM configuration after LTM execution is triggered towards the corresponding LTM candidate cell.  </w:t>
      </w:r>
    </w:p>
    <w:p w14:paraId="670B7DDC" w14:textId="77777777" w:rsidR="00900B9A" w:rsidRDefault="00900B9A" w:rsidP="004B3659">
      <w:pPr>
        <w:spacing w:after="120"/>
        <w:rPr>
          <w:b/>
          <w:bCs/>
        </w:rPr>
      </w:pPr>
    </w:p>
    <w:p w14:paraId="0AED24D6" w14:textId="4EC8682D" w:rsidR="006D6BA6" w:rsidRDefault="00A95145" w:rsidP="004B3659">
      <w:pPr>
        <w:spacing w:after="120"/>
        <w:rPr>
          <w:u w:val="single"/>
        </w:rPr>
      </w:pPr>
      <w:r>
        <w:rPr>
          <w:u w:val="single"/>
        </w:rPr>
        <w:t>Delta configuration:</w:t>
      </w:r>
    </w:p>
    <w:p w14:paraId="5302295F" w14:textId="77777777" w:rsidR="00F537D6" w:rsidRDefault="00F537D6" w:rsidP="00F537D6">
      <w:pPr>
        <w:rPr>
          <w:b/>
          <w:bCs/>
        </w:rPr>
      </w:pPr>
      <w:r>
        <w:rPr>
          <w:b/>
          <w:bCs/>
        </w:rPr>
        <w:t>Observation 3a: A PCell of one candidate LTM cell group and an SCell of another candidate LTM cell group may be the same.</w:t>
      </w:r>
    </w:p>
    <w:p w14:paraId="14F9F6DC" w14:textId="77777777" w:rsidR="00F537D6" w:rsidRDefault="00F537D6" w:rsidP="00F537D6">
      <w:pPr>
        <w:rPr>
          <w:b/>
          <w:bCs/>
        </w:rPr>
      </w:pPr>
      <w:r>
        <w:rPr>
          <w:b/>
          <w:bCs/>
        </w:rPr>
        <w:t>Observation 3b: If the same cell is a PCell in one candidate LTM cell group and an SCell in another candidate LTM cell group, using a common reference cell configuration to configure delta signaling for this cell is the most efficient.</w:t>
      </w:r>
    </w:p>
    <w:p w14:paraId="54800520" w14:textId="77777777" w:rsidR="00F537D6" w:rsidRDefault="00F537D6" w:rsidP="00F537D6">
      <w:pPr>
        <w:rPr>
          <w:b/>
          <w:bCs/>
        </w:rPr>
      </w:pPr>
      <w:r>
        <w:rPr>
          <w:b/>
          <w:bCs/>
        </w:rPr>
        <w:t xml:space="preserve">Proposal 7a: An SpCellConfig IE of the CellGroupConfig IE of the candidate RRC reconfiguration IE may use delta signaling wrt to either a reference SpCellConfig IE or a reference SCellConfig IE of the </w:t>
      </w:r>
      <w:r w:rsidRPr="004E0137">
        <w:rPr>
          <w:b/>
          <w:bCs/>
        </w:rPr>
        <w:t>reference CellGroupConfig IE</w:t>
      </w:r>
      <w:r>
        <w:rPr>
          <w:b/>
          <w:bCs/>
        </w:rPr>
        <w:t xml:space="preserve"> of the </w:t>
      </w:r>
      <w:r w:rsidRPr="00F2288F">
        <w:rPr>
          <w:b/>
          <w:bCs/>
        </w:rPr>
        <w:t>reference configuration</w:t>
      </w:r>
      <w:r>
        <w:rPr>
          <w:b/>
          <w:bCs/>
        </w:rPr>
        <w:t>.</w:t>
      </w:r>
    </w:p>
    <w:p w14:paraId="42373F5C" w14:textId="4C459319" w:rsidR="00A95145" w:rsidRPr="0093495A" w:rsidRDefault="00F537D6" w:rsidP="0093495A">
      <w:pPr>
        <w:rPr>
          <w:b/>
          <w:bCs/>
        </w:rPr>
      </w:pPr>
      <w:r>
        <w:rPr>
          <w:b/>
          <w:bCs/>
        </w:rPr>
        <w:t xml:space="preserve">Proposal 7b: An SCellConfig IE of the CellGroupConfig IE of the candidate RRC reconfiguration IE may use delta signaling wrt to either a reference SpCellConfig IE or a reference SCellConfig IE of the </w:t>
      </w:r>
      <w:r w:rsidRPr="004E0137">
        <w:rPr>
          <w:b/>
          <w:bCs/>
        </w:rPr>
        <w:t>reference CellGroupConfig IE</w:t>
      </w:r>
      <w:r>
        <w:rPr>
          <w:b/>
          <w:bCs/>
        </w:rPr>
        <w:t xml:space="preserve"> of the </w:t>
      </w:r>
      <w:r w:rsidRPr="00F2288F">
        <w:rPr>
          <w:b/>
          <w:bCs/>
        </w:rPr>
        <w:t>reference configuration</w:t>
      </w:r>
      <w:r>
        <w:rPr>
          <w:b/>
          <w:bCs/>
        </w:rPr>
        <w:t>.</w:t>
      </w:r>
    </w:p>
    <w:p w14:paraId="7F9A5B2E" w14:textId="77777777" w:rsidR="00CD4C7B" w:rsidRPr="00320A6B" w:rsidRDefault="00CD4C7B" w:rsidP="00CD4C7B">
      <w:pPr>
        <w:pStyle w:val="Heading1"/>
      </w:pPr>
      <w:r w:rsidRPr="00320A6B">
        <w:t>References</w:t>
      </w:r>
    </w:p>
    <w:p w14:paraId="70459B3E" w14:textId="63DC2900" w:rsidR="00CE3D00" w:rsidRPr="00CE3D00" w:rsidRDefault="00CE3D00" w:rsidP="001A3142">
      <w:pPr>
        <w:pStyle w:val="ListParagraph"/>
        <w:widowControl w:val="0"/>
        <w:numPr>
          <w:ilvl w:val="0"/>
          <w:numId w:val="1"/>
        </w:numPr>
        <w:autoSpaceDE w:val="0"/>
        <w:autoSpaceDN w:val="0"/>
        <w:adjustRightInd w:val="0"/>
        <w:spacing w:after="0" w:line="360" w:lineRule="auto"/>
        <w:contextualSpacing w:val="0"/>
        <w:rPr>
          <w:lang w:val="en-US" w:eastAsia="zh-CN"/>
        </w:rPr>
      </w:pPr>
      <w:bookmarkStart w:id="0" w:name="_Ref490247806"/>
      <w:r>
        <w:rPr>
          <w:lang w:eastAsia="zh-CN"/>
        </w:rPr>
        <w:t>Chairman Notes</w:t>
      </w:r>
      <w:r w:rsidRPr="00F04C08">
        <w:rPr>
          <w:lang w:val="en-US" w:eastAsia="zh-CN"/>
        </w:rPr>
        <w:t xml:space="preserve">; TSG RAN </w:t>
      </w:r>
      <w:r>
        <w:rPr>
          <w:lang w:val="en-US" w:eastAsia="zh-CN"/>
        </w:rPr>
        <w:t xml:space="preserve">WG2 </w:t>
      </w:r>
      <w:r w:rsidRPr="00F04C08">
        <w:rPr>
          <w:lang w:val="en-US" w:eastAsia="zh-CN"/>
        </w:rPr>
        <w:t>Meeting #</w:t>
      </w:r>
      <w:r>
        <w:rPr>
          <w:lang w:val="en-US" w:eastAsia="zh-CN"/>
        </w:rPr>
        <w:t>122</w:t>
      </w:r>
    </w:p>
    <w:p w14:paraId="7FD32B9E" w14:textId="56936990" w:rsidR="001A3142" w:rsidRPr="00B54D5E" w:rsidRDefault="001A3142" w:rsidP="001A3142">
      <w:pPr>
        <w:pStyle w:val="ListParagraph"/>
        <w:widowControl w:val="0"/>
        <w:numPr>
          <w:ilvl w:val="0"/>
          <w:numId w:val="1"/>
        </w:numPr>
        <w:autoSpaceDE w:val="0"/>
        <w:autoSpaceDN w:val="0"/>
        <w:adjustRightInd w:val="0"/>
        <w:spacing w:after="0" w:line="360" w:lineRule="auto"/>
        <w:contextualSpacing w:val="0"/>
        <w:rPr>
          <w:lang w:val="en-US" w:eastAsia="zh-CN"/>
        </w:rPr>
      </w:pPr>
      <w:r>
        <w:rPr>
          <w:lang w:eastAsia="zh-CN"/>
        </w:rPr>
        <w:t>Chairman Notes</w:t>
      </w:r>
      <w:r w:rsidRPr="00F04C08">
        <w:rPr>
          <w:lang w:val="en-US" w:eastAsia="zh-CN"/>
        </w:rPr>
        <w:t xml:space="preserve">; TSG RAN </w:t>
      </w:r>
      <w:r>
        <w:rPr>
          <w:lang w:val="en-US" w:eastAsia="zh-CN"/>
        </w:rPr>
        <w:t xml:space="preserve">WG2 </w:t>
      </w:r>
      <w:r w:rsidRPr="00F04C08">
        <w:rPr>
          <w:lang w:val="en-US" w:eastAsia="zh-CN"/>
        </w:rPr>
        <w:t>Meeting #</w:t>
      </w:r>
      <w:r>
        <w:rPr>
          <w:lang w:val="en-US" w:eastAsia="zh-CN"/>
        </w:rPr>
        <w:t>121</w:t>
      </w:r>
      <w:r w:rsidR="00590690">
        <w:rPr>
          <w:lang w:val="en-US" w:eastAsia="zh-CN"/>
        </w:rPr>
        <w:t>bis-e</w:t>
      </w:r>
    </w:p>
    <w:p w14:paraId="239B5211" w14:textId="23FAE950" w:rsidR="008D0839" w:rsidRPr="00320A6B" w:rsidRDefault="00DC78A1" w:rsidP="00001C90">
      <w:pPr>
        <w:pStyle w:val="ListParagraph"/>
        <w:widowControl w:val="0"/>
        <w:numPr>
          <w:ilvl w:val="0"/>
          <w:numId w:val="1"/>
        </w:numPr>
        <w:autoSpaceDE w:val="0"/>
        <w:autoSpaceDN w:val="0"/>
        <w:adjustRightInd w:val="0"/>
        <w:spacing w:after="0" w:line="360" w:lineRule="auto"/>
        <w:contextualSpacing w:val="0"/>
      </w:pPr>
      <w:r>
        <w:rPr>
          <w:lang w:eastAsia="zh-CN"/>
        </w:rPr>
        <w:t>Chairman Notes</w:t>
      </w:r>
      <w:r w:rsidRPr="00F04C08">
        <w:rPr>
          <w:lang w:val="en-US" w:eastAsia="zh-CN"/>
        </w:rPr>
        <w:t xml:space="preserve">; TSG RAN </w:t>
      </w:r>
      <w:r>
        <w:rPr>
          <w:lang w:val="en-US" w:eastAsia="zh-CN"/>
        </w:rPr>
        <w:t xml:space="preserve">WG2 </w:t>
      </w:r>
      <w:r w:rsidRPr="00F04C08">
        <w:rPr>
          <w:lang w:val="en-US" w:eastAsia="zh-CN"/>
        </w:rPr>
        <w:t>Meeting #</w:t>
      </w:r>
      <w:r>
        <w:rPr>
          <w:lang w:val="en-US" w:eastAsia="zh-CN"/>
        </w:rPr>
        <w:t>1</w:t>
      </w:r>
      <w:r w:rsidR="00001C90">
        <w:rPr>
          <w:lang w:val="en-US" w:eastAsia="zh-CN"/>
        </w:rPr>
        <w:t>21</w:t>
      </w:r>
      <w:bookmarkEnd w:id="0"/>
    </w:p>
    <w:p w14:paraId="18A8108C" w14:textId="77777777" w:rsidR="00080512" w:rsidRPr="00320A6B" w:rsidRDefault="00080512" w:rsidP="003F28F4">
      <w:pPr>
        <w:overflowPunct w:val="0"/>
        <w:autoSpaceDE w:val="0"/>
        <w:autoSpaceDN w:val="0"/>
        <w:adjustRightInd w:val="0"/>
        <w:ind w:left="357"/>
        <w:textAlignment w:val="baseline"/>
      </w:pPr>
    </w:p>
    <w:sectPr w:rsidR="00080512" w:rsidRPr="00320A6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0D79BD" w14:textId="77777777" w:rsidR="00DF761B" w:rsidRDefault="00DF761B">
      <w:r>
        <w:separator/>
      </w:r>
    </w:p>
  </w:endnote>
  <w:endnote w:type="continuationSeparator" w:id="0">
    <w:p w14:paraId="298DC34F" w14:textId="77777777" w:rsidR="00DF761B" w:rsidRDefault="00DF7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E00CB" w14:textId="77777777" w:rsidR="00DF761B" w:rsidRDefault="00DF761B">
      <w:r>
        <w:separator/>
      </w:r>
    </w:p>
  </w:footnote>
  <w:footnote w:type="continuationSeparator" w:id="0">
    <w:p w14:paraId="1633E5F6" w14:textId="77777777" w:rsidR="00DF761B" w:rsidRDefault="00DF76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20117"/>
    <w:multiLevelType w:val="hybridMultilevel"/>
    <w:tmpl w:val="092A0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89596B"/>
    <w:multiLevelType w:val="hybridMultilevel"/>
    <w:tmpl w:val="2E0AC066"/>
    <w:lvl w:ilvl="0" w:tplc="2BC0DF16">
      <w:start w:val="1"/>
      <w:numFmt w:val="bullet"/>
      <w:lvlText w:val="-"/>
      <w:lvlJc w:val="left"/>
      <w:pPr>
        <w:ind w:left="720" w:hanging="360"/>
      </w:pPr>
      <w:rPr>
        <w:rFonts w:ascii="Times New Roman"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DE0780"/>
    <w:multiLevelType w:val="hybridMultilevel"/>
    <w:tmpl w:val="AF644068"/>
    <w:lvl w:ilvl="0" w:tplc="48E27D48">
      <w:start w:val="1"/>
      <w:numFmt w:val="bullet"/>
      <w:lvlText w:val="–"/>
      <w:lvlJc w:val="left"/>
      <w:pPr>
        <w:tabs>
          <w:tab w:val="num" w:pos="360"/>
        </w:tabs>
        <w:ind w:left="360" w:hanging="360"/>
      </w:pPr>
      <w:rPr>
        <w:rFonts w:ascii="Times New Roman" w:hAnsi="Times New Roman" w:hint="default"/>
      </w:rPr>
    </w:lvl>
    <w:lvl w:ilvl="1" w:tplc="9F24B34E">
      <w:start w:val="1"/>
      <w:numFmt w:val="bullet"/>
      <w:lvlText w:val="–"/>
      <w:lvlJc w:val="left"/>
      <w:pPr>
        <w:tabs>
          <w:tab w:val="num" w:pos="1080"/>
        </w:tabs>
        <w:ind w:left="1080" w:hanging="360"/>
      </w:pPr>
      <w:rPr>
        <w:rFonts w:ascii="Times New Roman" w:hAnsi="Times New Roman" w:hint="default"/>
      </w:rPr>
    </w:lvl>
    <w:lvl w:ilvl="2" w:tplc="578C07DE" w:tentative="1">
      <w:start w:val="1"/>
      <w:numFmt w:val="bullet"/>
      <w:lvlText w:val="–"/>
      <w:lvlJc w:val="left"/>
      <w:pPr>
        <w:tabs>
          <w:tab w:val="num" w:pos="1800"/>
        </w:tabs>
        <w:ind w:left="1800" w:hanging="360"/>
      </w:pPr>
      <w:rPr>
        <w:rFonts w:ascii="Times New Roman" w:hAnsi="Times New Roman" w:hint="default"/>
      </w:rPr>
    </w:lvl>
    <w:lvl w:ilvl="3" w:tplc="261C6C30" w:tentative="1">
      <w:start w:val="1"/>
      <w:numFmt w:val="bullet"/>
      <w:lvlText w:val="–"/>
      <w:lvlJc w:val="left"/>
      <w:pPr>
        <w:tabs>
          <w:tab w:val="num" w:pos="2520"/>
        </w:tabs>
        <w:ind w:left="2520" w:hanging="360"/>
      </w:pPr>
      <w:rPr>
        <w:rFonts w:ascii="Times New Roman" w:hAnsi="Times New Roman" w:hint="default"/>
      </w:rPr>
    </w:lvl>
    <w:lvl w:ilvl="4" w:tplc="D96A783E" w:tentative="1">
      <w:start w:val="1"/>
      <w:numFmt w:val="bullet"/>
      <w:lvlText w:val="–"/>
      <w:lvlJc w:val="left"/>
      <w:pPr>
        <w:tabs>
          <w:tab w:val="num" w:pos="3240"/>
        </w:tabs>
        <w:ind w:left="3240" w:hanging="360"/>
      </w:pPr>
      <w:rPr>
        <w:rFonts w:ascii="Times New Roman" w:hAnsi="Times New Roman" w:hint="default"/>
      </w:rPr>
    </w:lvl>
    <w:lvl w:ilvl="5" w:tplc="7144C6D2" w:tentative="1">
      <w:start w:val="1"/>
      <w:numFmt w:val="bullet"/>
      <w:lvlText w:val="–"/>
      <w:lvlJc w:val="left"/>
      <w:pPr>
        <w:tabs>
          <w:tab w:val="num" w:pos="3960"/>
        </w:tabs>
        <w:ind w:left="3960" w:hanging="360"/>
      </w:pPr>
      <w:rPr>
        <w:rFonts w:ascii="Times New Roman" w:hAnsi="Times New Roman" w:hint="default"/>
      </w:rPr>
    </w:lvl>
    <w:lvl w:ilvl="6" w:tplc="04266D5C" w:tentative="1">
      <w:start w:val="1"/>
      <w:numFmt w:val="bullet"/>
      <w:lvlText w:val="–"/>
      <w:lvlJc w:val="left"/>
      <w:pPr>
        <w:tabs>
          <w:tab w:val="num" w:pos="4680"/>
        </w:tabs>
        <w:ind w:left="4680" w:hanging="360"/>
      </w:pPr>
      <w:rPr>
        <w:rFonts w:ascii="Times New Roman" w:hAnsi="Times New Roman" w:hint="default"/>
      </w:rPr>
    </w:lvl>
    <w:lvl w:ilvl="7" w:tplc="D414AE52" w:tentative="1">
      <w:start w:val="1"/>
      <w:numFmt w:val="bullet"/>
      <w:lvlText w:val="–"/>
      <w:lvlJc w:val="left"/>
      <w:pPr>
        <w:tabs>
          <w:tab w:val="num" w:pos="5400"/>
        </w:tabs>
        <w:ind w:left="5400" w:hanging="360"/>
      </w:pPr>
      <w:rPr>
        <w:rFonts w:ascii="Times New Roman" w:hAnsi="Times New Roman" w:hint="default"/>
      </w:rPr>
    </w:lvl>
    <w:lvl w:ilvl="8" w:tplc="072C6366" w:tentative="1">
      <w:start w:val="1"/>
      <w:numFmt w:val="bullet"/>
      <w:lvlText w:val="–"/>
      <w:lvlJc w:val="left"/>
      <w:pPr>
        <w:tabs>
          <w:tab w:val="num" w:pos="6120"/>
        </w:tabs>
        <w:ind w:left="6120" w:hanging="360"/>
      </w:pPr>
      <w:rPr>
        <w:rFonts w:ascii="Times New Roman" w:hAnsi="Times New Roman" w:hint="default"/>
      </w:rPr>
    </w:lvl>
  </w:abstractNum>
  <w:abstractNum w:abstractNumId="3" w15:restartNumberingAfterBreak="0">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AC65095"/>
    <w:multiLevelType w:val="multilevel"/>
    <w:tmpl w:val="406036C4"/>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F693472"/>
    <w:multiLevelType w:val="multilevel"/>
    <w:tmpl w:val="5212FF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11C61F2"/>
    <w:multiLevelType w:val="hybridMultilevel"/>
    <w:tmpl w:val="74DED06A"/>
    <w:lvl w:ilvl="0" w:tplc="2BC0DF16">
      <w:start w:val="1"/>
      <w:numFmt w:val="bullet"/>
      <w:lvlText w:val="-"/>
      <w:lvlJc w:val="left"/>
      <w:pPr>
        <w:ind w:left="768" w:hanging="360"/>
      </w:pPr>
      <w:rPr>
        <w:rFonts w:ascii="Times New Roman" w:hAnsi="Times New Roman" w:cs="Times New Roman" w:hint="default"/>
        <w:lang w:val="en-US"/>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7" w15:restartNumberingAfterBreak="0">
    <w:nsid w:val="2318784E"/>
    <w:multiLevelType w:val="hybridMultilevel"/>
    <w:tmpl w:val="A75622AE"/>
    <w:lvl w:ilvl="0" w:tplc="2BC0DF16">
      <w:start w:val="1"/>
      <w:numFmt w:val="bullet"/>
      <w:lvlText w:val="-"/>
      <w:lvlJc w:val="left"/>
      <w:pPr>
        <w:ind w:left="720" w:hanging="360"/>
      </w:pPr>
      <w:rPr>
        <w:rFonts w:ascii="Times New Roman" w:hAnsi="Times New Roman" w:cs="Times New Roman"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C96C25"/>
    <w:multiLevelType w:val="hybridMultilevel"/>
    <w:tmpl w:val="21DEB740"/>
    <w:lvl w:ilvl="0" w:tplc="2BC0DF16">
      <w:start w:val="1"/>
      <w:numFmt w:val="bullet"/>
      <w:lvlText w:val="-"/>
      <w:lvlJc w:val="left"/>
      <w:pPr>
        <w:ind w:left="720" w:hanging="360"/>
      </w:pPr>
      <w:rPr>
        <w:rFonts w:ascii="Times New Roman" w:hAnsi="Times New Roman" w:cs="Times New Roman"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6A3E82"/>
    <w:multiLevelType w:val="hybridMultilevel"/>
    <w:tmpl w:val="8302560E"/>
    <w:lvl w:ilvl="0" w:tplc="50E0230A">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A4E40"/>
    <w:multiLevelType w:val="hybridMultilevel"/>
    <w:tmpl w:val="074AF822"/>
    <w:lvl w:ilvl="0" w:tplc="FFFFFFFF">
      <w:start w:val="1"/>
      <w:numFmt w:val="bullet"/>
      <w:lvlText w:val="-"/>
      <w:lvlJc w:val="left"/>
      <w:pPr>
        <w:ind w:left="720" w:hanging="360"/>
      </w:pPr>
      <w:rPr>
        <w:rFonts w:ascii="Times New Roman" w:eastAsiaTheme="minorEastAsia" w:hAnsi="Times New Roman" w:cs="Times New Roman" w:hint="default"/>
      </w:rPr>
    </w:lvl>
    <w:lvl w:ilvl="1" w:tplc="04090019">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CA13ECA"/>
    <w:multiLevelType w:val="hybridMultilevel"/>
    <w:tmpl w:val="38208E70"/>
    <w:lvl w:ilvl="0" w:tplc="2BC0DF16">
      <w:start w:val="1"/>
      <w:numFmt w:val="bullet"/>
      <w:lvlText w:val="-"/>
      <w:lvlJc w:val="left"/>
      <w:pPr>
        <w:ind w:left="720" w:hanging="360"/>
      </w:pPr>
      <w:rPr>
        <w:rFonts w:ascii="Times New Roman" w:hAnsi="Times New Roman" w:cs="Times New Roman"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EC3323"/>
    <w:multiLevelType w:val="hybridMultilevel"/>
    <w:tmpl w:val="F49A5E10"/>
    <w:lvl w:ilvl="0" w:tplc="2BC0DF16">
      <w:start w:val="1"/>
      <w:numFmt w:val="bullet"/>
      <w:lvlText w:val="-"/>
      <w:lvlJc w:val="left"/>
      <w:pPr>
        <w:ind w:left="360" w:hanging="360"/>
      </w:pPr>
      <w:rPr>
        <w:rFonts w:ascii="Times New Roman" w:hAnsi="Times New Roman" w:cs="Times New Roman" w:hint="default"/>
        <w:lang w:val="en-U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616AE0"/>
    <w:multiLevelType w:val="hybridMultilevel"/>
    <w:tmpl w:val="E2D83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E63534"/>
    <w:multiLevelType w:val="hybridMultilevel"/>
    <w:tmpl w:val="EB76C9D0"/>
    <w:lvl w:ilvl="0" w:tplc="2BC0DF16">
      <w:start w:val="1"/>
      <w:numFmt w:val="bullet"/>
      <w:lvlText w:val="-"/>
      <w:lvlJc w:val="left"/>
      <w:pPr>
        <w:ind w:left="720" w:hanging="360"/>
      </w:pPr>
      <w:rPr>
        <w:rFonts w:ascii="Times New Roman" w:hAnsi="Times New Roman" w:cs="Times New Roman"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067A3D"/>
    <w:multiLevelType w:val="hybridMultilevel"/>
    <w:tmpl w:val="B0043898"/>
    <w:lvl w:ilvl="0" w:tplc="77EE676A">
      <w:start w:val="1"/>
      <w:numFmt w:val="bullet"/>
      <w:lvlText w:val="–"/>
      <w:lvlJc w:val="left"/>
      <w:pPr>
        <w:tabs>
          <w:tab w:val="num" w:pos="360"/>
        </w:tabs>
        <w:ind w:left="360" w:hanging="360"/>
      </w:pPr>
      <w:rPr>
        <w:rFonts w:ascii="Times New Roman" w:hAnsi="Times New Roman" w:hint="default"/>
      </w:rPr>
    </w:lvl>
    <w:lvl w:ilvl="1" w:tplc="ECE0E7AE">
      <w:start w:val="1"/>
      <w:numFmt w:val="bullet"/>
      <w:lvlText w:val="–"/>
      <w:lvlJc w:val="left"/>
      <w:pPr>
        <w:tabs>
          <w:tab w:val="num" w:pos="1080"/>
        </w:tabs>
        <w:ind w:left="1080" w:hanging="360"/>
      </w:pPr>
      <w:rPr>
        <w:rFonts w:ascii="Times New Roman" w:hAnsi="Times New Roman" w:hint="default"/>
      </w:rPr>
    </w:lvl>
    <w:lvl w:ilvl="2" w:tplc="B4A25C80" w:tentative="1">
      <w:start w:val="1"/>
      <w:numFmt w:val="bullet"/>
      <w:lvlText w:val="–"/>
      <w:lvlJc w:val="left"/>
      <w:pPr>
        <w:tabs>
          <w:tab w:val="num" w:pos="1800"/>
        </w:tabs>
        <w:ind w:left="1800" w:hanging="360"/>
      </w:pPr>
      <w:rPr>
        <w:rFonts w:ascii="Times New Roman" w:hAnsi="Times New Roman" w:hint="default"/>
      </w:rPr>
    </w:lvl>
    <w:lvl w:ilvl="3" w:tplc="38FEE176" w:tentative="1">
      <w:start w:val="1"/>
      <w:numFmt w:val="bullet"/>
      <w:lvlText w:val="–"/>
      <w:lvlJc w:val="left"/>
      <w:pPr>
        <w:tabs>
          <w:tab w:val="num" w:pos="2520"/>
        </w:tabs>
        <w:ind w:left="2520" w:hanging="360"/>
      </w:pPr>
      <w:rPr>
        <w:rFonts w:ascii="Times New Roman" w:hAnsi="Times New Roman" w:hint="default"/>
      </w:rPr>
    </w:lvl>
    <w:lvl w:ilvl="4" w:tplc="13748DAC" w:tentative="1">
      <w:start w:val="1"/>
      <w:numFmt w:val="bullet"/>
      <w:lvlText w:val="–"/>
      <w:lvlJc w:val="left"/>
      <w:pPr>
        <w:tabs>
          <w:tab w:val="num" w:pos="3240"/>
        </w:tabs>
        <w:ind w:left="3240" w:hanging="360"/>
      </w:pPr>
      <w:rPr>
        <w:rFonts w:ascii="Times New Roman" w:hAnsi="Times New Roman" w:hint="default"/>
      </w:rPr>
    </w:lvl>
    <w:lvl w:ilvl="5" w:tplc="9D8CA25A" w:tentative="1">
      <w:start w:val="1"/>
      <w:numFmt w:val="bullet"/>
      <w:lvlText w:val="–"/>
      <w:lvlJc w:val="left"/>
      <w:pPr>
        <w:tabs>
          <w:tab w:val="num" w:pos="3960"/>
        </w:tabs>
        <w:ind w:left="3960" w:hanging="360"/>
      </w:pPr>
      <w:rPr>
        <w:rFonts w:ascii="Times New Roman" w:hAnsi="Times New Roman" w:hint="default"/>
      </w:rPr>
    </w:lvl>
    <w:lvl w:ilvl="6" w:tplc="DEDC5B9A" w:tentative="1">
      <w:start w:val="1"/>
      <w:numFmt w:val="bullet"/>
      <w:lvlText w:val="–"/>
      <w:lvlJc w:val="left"/>
      <w:pPr>
        <w:tabs>
          <w:tab w:val="num" w:pos="4680"/>
        </w:tabs>
        <w:ind w:left="4680" w:hanging="360"/>
      </w:pPr>
      <w:rPr>
        <w:rFonts w:ascii="Times New Roman" w:hAnsi="Times New Roman" w:hint="default"/>
      </w:rPr>
    </w:lvl>
    <w:lvl w:ilvl="7" w:tplc="AC222FD2" w:tentative="1">
      <w:start w:val="1"/>
      <w:numFmt w:val="bullet"/>
      <w:lvlText w:val="–"/>
      <w:lvlJc w:val="left"/>
      <w:pPr>
        <w:tabs>
          <w:tab w:val="num" w:pos="5400"/>
        </w:tabs>
        <w:ind w:left="5400" w:hanging="360"/>
      </w:pPr>
      <w:rPr>
        <w:rFonts w:ascii="Times New Roman" w:hAnsi="Times New Roman" w:hint="default"/>
      </w:rPr>
    </w:lvl>
    <w:lvl w:ilvl="8" w:tplc="DDF24D94" w:tentative="1">
      <w:start w:val="1"/>
      <w:numFmt w:val="bullet"/>
      <w:lvlText w:val="–"/>
      <w:lvlJc w:val="left"/>
      <w:pPr>
        <w:tabs>
          <w:tab w:val="num" w:pos="6120"/>
        </w:tabs>
        <w:ind w:left="6120" w:hanging="360"/>
      </w:pPr>
      <w:rPr>
        <w:rFonts w:ascii="Times New Roman" w:hAnsi="Times New Roman" w:hint="default"/>
      </w:rPr>
    </w:lvl>
  </w:abstractNum>
  <w:abstractNum w:abstractNumId="18" w15:restartNumberingAfterBreak="0">
    <w:nsid w:val="5A7F7CC2"/>
    <w:multiLevelType w:val="hybridMultilevel"/>
    <w:tmpl w:val="35A0C0C4"/>
    <w:lvl w:ilvl="0" w:tplc="2BC0DF16">
      <w:start w:val="1"/>
      <w:numFmt w:val="bullet"/>
      <w:lvlText w:val="-"/>
      <w:lvlJc w:val="left"/>
      <w:pPr>
        <w:ind w:left="720" w:hanging="360"/>
      </w:pPr>
      <w:rPr>
        <w:rFonts w:ascii="Times New Roman" w:hAnsi="Times New Roman" w:cs="Times New Roman"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4C4C0D"/>
    <w:multiLevelType w:val="hybridMultilevel"/>
    <w:tmpl w:val="843EC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21" w15:restartNumberingAfterBreak="0">
    <w:nsid w:val="63B432B6"/>
    <w:multiLevelType w:val="multilevel"/>
    <w:tmpl w:val="3B0A5DDC"/>
    <w:lvl w:ilvl="0">
      <w:start w:val="1"/>
      <w:numFmt w:val="lowerLetter"/>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6480"/>
        </w:tabs>
        <w:ind w:left="-6480" w:hanging="360"/>
      </w:pPr>
      <w:rPr>
        <w:rFonts w:ascii="Symbol" w:hAnsi="Symbol" w:hint="default"/>
        <w:b/>
        <w:i w:val="0"/>
        <w:color w:val="auto"/>
        <w:sz w:val="22"/>
      </w:rPr>
    </w:lvl>
    <w:lvl w:ilvl="1" w:tplc="04090003">
      <w:start w:val="1"/>
      <w:numFmt w:val="bullet"/>
      <w:lvlText w:val="o"/>
      <w:lvlJc w:val="left"/>
      <w:pPr>
        <w:tabs>
          <w:tab w:val="num" w:pos="-5670"/>
        </w:tabs>
        <w:ind w:left="-5670" w:hanging="360"/>
      </w:pPr>
      <w:rPr>
        <w:rFonts w:ascii="Courier New" w:hAnsi="Courier New" w:cs="Courier New" w:hint="default"/>
      </w:rPr>
    </w:lvl>
    <w:lvl w:ilvl="2" w:tplc="04090005" w:tentative="1">
      <w:start w:val="1"/>
      <w:numFmt w:val="bullet"/>
      <w:lvlText w:val=""/>
      <w:lvlJc w:val="left"/>
      <w:pPr>
        <w:tabs>
          <w:tab w:val="num" w:pos="-4950"/>
        </w:tabs>
        <w:ind w:left="-4950" w:hanging="360"/>
      </w:pPr>
      <w:rPr>
        <w:rFonts w:ascii="Wingdings" w:hAnsi="Wingdings" w:hint="default"/>
      </w:rPr>
    </w:lvl>
    <w:lvl w:ilvl="3" w:tplc="04090001" w:tentative="1">
      <w:start w:val="1"/>
      <w:numFmt w:val="bullet"/>
      <w:lvlText w:val=""/>
      <w:lvlJc w:val="left"/>
      <w:pPr>
        <w:tabs>
          <w:tab w:val="num" w:pos="-4230"/>
        </w:tabs>
        <w:ind w:left="-423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cs="Courier New" w:hint="default"/>
      </w:rPr>
    </w:lvl>
    <w:lvl w:ilvl="5" w:tplc="04090005" w:tentative="1">
      <w:start w:val="1"/>
      <w:numFmt w:val="bullet"/>
      <w:lvlText w:val=""/>
      <w:lvlJc w:val="left"/>
      <w:pPr>
        <w:tabs>
          <w:tab w:val="num" w:pos="-2790"/>
        </w:tabs>
        <w:ind w:left="-2790" w:hanging="360"/>
      </w:pPr>
      <w:rPr>
        <w:rFonts w:ascii="Wingdings" w:hAnsi="Wingdings" w:hint="default"/>
      </w:rPr>
    </w:lvl>
    <w:lvl w:ilvl="6" w:tplc="04090001" w:tentative="1">
      <w:start w:val="1"/>
      <w:numFmt w:val="bullet"/>
      <w:lvlText w:val=""/>
      <w:lvlJc w:val="left"/>
      <w:pPr>
        <w:tabs>
          <w:tab w:val="num" w:pos="-2070"/>
        </w:tabs>
        <w:ind w:left="-2070" w:hanging="360"/>
      </w:pPr>
      <w:rPr>
        <w:rFonts w:ascii="Symbol" w:hAnsi="Symbol" w:hint="default"/>
      </w:rPr>
    </w:lvl>
    <w:lvl w:ilvl="7" w:tplc="04090003" w:tentative="1">
      <w:start w:val="1"/>
      <w:numFmt w:val="bullet"/>
      <w:lvlText w:val="o"/>
      <w:lvlJc w:val="left"/>
      <w:pPr>
        <w:tabs>
          <w:tab w:val="num" w:pos="-1350"/>
        </w:tabs>
        <w:ind w:left="-1350" w:hanging="360"/>
      </w:pPr>
      <w:rPr>
        <w:rFonts w:ascii="Courier New" w:hAnsi="Courier New" w:cs="Courier New" w:hint="default"/>
      </w:rPr>
    </w:lvl>
    <w:lvl w:ilvl="8" w:tplc="04090005" w:tentative="1">
      <w:start w:val="1"/>
      <w:numFmt w:val="bullet"/>
      <w:lvlText w:val=""/>
      <w:lvlJc w:val="left"/>
      <w:pPr>
        <w:tabs>
          <w:tab w:val="num" w:pos="-630"/>
        </w:tabs>
        <w:ind w:left="-630" w:hanging="360"/>
      </w:pPr>
      <w:rPr>
        <w:rFonts w:ascii="Wingdings" w:hAnsi="Wingdings" w:hint="default"/>
      </w:rPr>
    </w:lvl>
  </w:abstractNum>
  <w:abstractNum w:abstractNumId="23"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43A1ABF"/>
    <w:multiLevelType w:val="hybridMultilevel"/>
    <w:tmpl w:val="73DA0400"/>
    <w:lvl w:ilvl="0" w:tplc="CBB4617A">
      <w:start w:val="1"/>
      <w:numFmt w:val="bullet"/>
      <w:lvlText w:val="–"/>
      <w:lvlJc w:val="left"/>
      <w:pPr>
        <w:tabs>
          <w:tab w:val="num" w:pos="720"/>
        </w:tabs>
        <w:ind w:left="720" w:hanging="360"/>
      </w:pPr>
      <w:rPr>
        <w:rFonts w:ascii="Times New Roman" w:hAnsi="Times New Roman" w:hint="default"/>
      </w:rPr>
    </w:lvl>
    <w:lvl w:ilvl="1" w:tplc="09B26A56">
      <w:start w:val="1"/>
      <w:numFmt w:val="bullet"/>
      <w:lvlText w:val="–"/>
      <w:lvlJc w:val="left"/>
      <w:pPr>
        <w:tabs>
          <w:tab w:val="num" w:pos="1440"/>
        </w:tabs>
        <w:ind w:left="1440" w:hanging="360"/>
      </w:pPr>
      <w:rPr>
        <w:rFonts w:ascii="Times New Roman" w:hAnsi="Times New Roman" w:hint="default"/>
      </w:rPr>
    </w:lvl>
    <w:lvl w:ilvl="2" w:tplc="FAB6AEFC" w:tentative="1">
      <w:start w:val="1"/>
      <w:numFmt w:val="bullet"/>
      <w:lvlText w:val="–"/>
      <w:lvlJc w:val="left"/>
      <w:pPr>
        <w:tabs>
          <w:tab w:val="num" w:pos="2160"/>
        </w:tabs>
        <w:ind w:left="2160" w:hanging="360"/>
      </w:pPr>
      <w:rPr>
        <w:rFonts w:ascii="Times New Roman" w:hAnsi="Times New Roman" w:hint="default"/>
      </w:rPr>
    </w:lvl>
    <w:lvl w:ilvl="3" w:tplc="6FCC5424" w:tentative="1">
      <w:start w:val="1"/>
      <w:numFmt w:val="bullet"/>
      <w:lvlText w:val="–"/>
      <w:lvlJc w:val="left"/>
      <w:pPr>
        <w:tabs>
          <w:tab w:val="num" w:pos="2880"/>
        </w:tabs>
        <w:ind w:left="2880" w:hanging="360"/>
      </w:pPr>
      <w:rPr>
        <w:rFonts w:ascii="Times New Roman" w:hAnsi="Times New Roman" w:hint="default"/>
      </w:rPr>
    </w:lvl>
    <w:lvl w:ilvl="4" w:tplc="4086AA38" w:tentative="1">
      <w:start w:val="1"/>
      <w:numFmt w:val="bullet"/>
      <w:lvlText w:val="–"/>
      <w:lvlJc w:val="left"/>
      <w:pPr>
        <w:tabs>
          <w:tab w:val="num" w:pos="3600"/>
        </w:tabs>
        <w:ind w:left="3600" w:hanging="360"/>
      </w:pPr>
      <w:rPr>
        <w:rFonts w:ascii="Times New Roman" w:hAnsi="Times New Roman" w:hint="default"/>
      </w:rPr>
    </w:lvl>
    <w:lvl w:ilvl="5" w:tplc="C49656E4" w:tentative="1">
      <w:start w:val="1"/>
      <w:numFmt w:val="bullet"/>
      <w:lvlText w:val="–"/>
      <w:lvlJc w:val="left"/>
      <w:pPr>
        <w:tabs>
          <w:tab w:val="num" w:pos="4320"/>
        </w:tabs>
        <w:ind w:left="4320" w:hanging="360"/>
      </w:pPr>
      <w:rPr>
        <w:rFonts w:ascii="Times New Roman" w:hAnsi="Times New Roman" w:hint="default"/>
      </w:rPr>
    </w:lvl>
    <w:lvl w:ilvl="6" w:tplc="00AC213A" w:tentative="1">
      <w:start w:val="1"/>
      <w:numFmt w:val="bullet"/>
      <w:lvlText w:val="–"/>
      <w:lvlJc w:val="left"/>
      <w:pPr>
        <w:tabs>
          <w:tab w:val="num" w:pos="5040"/>
        </w:tabs>
        <w:ind w:left="5040" w:hanging="360"/>
      </w:pPr>
      <w:rPr>
        <w:rFonts w:ascii="Times New Roman" w:hAnsi="Times New Roman" w:hint="default"/>
      </w:rPr>
    </w:lvl>
    <w:lvl w:ilvl="7" w:tplc="FFE0C644" w:tentative="1">
      <w:start w:val="1"/>
      <w:numFmt w:val="bullet"/>
      <w:lvlText w:val="–"/>
      <w:lvlJc w:val="left"/>
      <w:pPr>
        <w:tabs>
          <w:tab w:val="num" w:pos="5760"/>
        </w:tabs>
        <w:ind w:left="5760" w:hanging="360"/>
      </w:pPr>
      <w:rPr>
        <w:rFonts w:ascii="Times New Roman" w:hAnsi="Times New Roman" w:hint="default"/>
      </w:rPr>
    </w:lvl>
    <w:lvl w:ilvl="8" w:tplc="C5EEE510"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76A56881"/>
    <w:multiLevelType w:val="hybridMultilevel"/>
    <w:tmpl w:val="C6FC5096"/>
    <w:lvl w:ilvl="0" w:tplc="6ECC1CB8">
      <w:start w:val="4"/>
      <w:numFmt w:val="bullet"/>
      <w:lvlText w:val="-"/>
      <w:lvlJc w:val="left"/>
      <w:pPr>
        <w:ind w:left="420" w:hanging="420"/>
      </w:pPr>
      <w:rPr>
        <w:rFonts w:ascii="Yu Gothic" w:eastAsia="Yu Gothic" w:hAnsi="Yu Gothic" w:cs="MS P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7AF4C3A"/>
    <w:multiLevelType w:val="multilevel"/>
    <w:tmpl w:val="3B0A5DDC"/>
    <w:lvl w:ilvl="0">
      <w:start w:val="1"/>
      <w:numFmt w:val="lowerLetter"/>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825201637">
    <w:abstractNumId w:val="11"/>
  </w:num>
  <w:num w:numId="2" w16cid:durableId="337000327">
    <w:abstractNumId w:val="22"/>
  </w:num>
  <w:num w:numId="3" w16cid:durableId="297147906">
    <w:abstractNumId w:val="14"/>
  </w:num>
  <w:num w:numId="4" w16cid:durableId="1976789113">
    <w:abstractNumId w:val="23"/>
  </w:num>
  <w:num w:numId="5" w16cid:durableId="1480999869">
    <w:abstractNumId w:val="3"/>
  </w:num>
  <w:num w:numId="6" w16cid:durableId="794559959">
    <w:abstractNumId w:val="3"/>
  </w:num>
  <w:num w:numId="7" w16cid:durableId="1495367180">
    <w:abstractNumId w:val="19"/>
  </w:num>
  <w:num w:numId="8" w16cid:durableId="1620406204">
    <w:abstractNumId w:val="18"/>
  </w:num>
  <w:num w:numId="9" w16cid:durableId="1230579709">
    <w:abstractNumId w:val="13"/>
  </w:num>
  <w:num w:numId="10" w16cid:durableId="1933662305">
    <w:abstractNumId w:val="5"/>
  </w:num>
  <w:num w:numId="11" w16cid:durableId="246814779">
    <w:abstractNumId w:val="15"/>
  </w:num>
  <w:num w:numId="12" w16cid:durableId="1468203181">
    <w:abstractNumId w:val="0"/>
  </w:num>
  <w:num w:numId="13" w16cid:durableId="1820346751">
    <w:abstractNumId w:val="24"/>
  </w:num>
  <w:num w:numId="14" w16cid:durableId="1510221750">
    <w:abstractNumId w:val="4"/>
  </w:num>
  <w:num w:numId="15" w16cid:durableId="959383373">
    <w:abstractNumId w:val="16"/>
  </w:num>
  <w:num w:numId="16" w16cid:durableId="45842216">
    <w:abstractNumId w:val="25"/>
  </w:num>
  <w:num w:numId="17" w16cid:durableId="326135726">
    <w:abstractNumId w:val="7"/>
  </w:num>
  <w:num w:numId="18" w16cid:durableId="769160100">
    <w:abstractNumId w:val="8"/>
  </w:num>
  <w:num w:numId="19" w16cid:durableId="1884095719">
    <w:abstractNumId w:val="20"/>
  </w:num>
  <w:num w:numId="20" w16cid:durableId="1003778877">
    <w:abstractNumId w:val="17"/>
  </w:num>
  <w:num w:numId="21" w16cid:durableId="832455784">
    <w:abstractNumId w:val="2"/>
  </w:num>
  <w:num w:numId="22" w16cid:durableId="341972334">
    <w:abstractNumId w:val="26"/>
  </w:num>
  <w:num w:numId="23" w16cid:durableId="887960866">
    <w:abstractNumId w:val="21"/>
  </w:num>
  <w:num w:numId="24" w16cid:durableId="690380151">
    <w:abstractNumId w:val="1"/>
  </w:num>
  <w:num w:numId="25" w16cid:durableId="1537083790">
    <w:abstractNumId w:val="6"/>
  </w:num>
  <w:num w:numId="26" w16cid:durableId="1137797747">
    <w:abstractNumId w:val="12"/>
  </w:num>
  <w:num w:numId="27" w16cid:durableId="2027126699">
    <w:abstractNumId w:val="9"/>
  </w:num>
  <w:num w:numId="28" w16cid:durableId="918711386">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10B"/>
    <w:rsid w:val="000009E0"/>
    <w:rsid w:val="00000E4A"/>
    <w:rsid w:val="000014D3"/>
    <w:rsid w:val="00001C90"/>
    <w:rsid w:val="000025DC"/>
    <w:rsid w:val="000028B0"/>
    <w:rsid w:val="000039F6"/>
    <w:rsid w:val="0000409B"/>
    <w:rsid w:val="000053AA"/>
    <w:rsid w:val="00006287"/>
    <w:rsid w:val="000064F6"/>
    <w:rsid w:val="00006EBD"/>
    <w:rsid w:val="000072B3"/>
    <w:rsid w:val="00010161"/>
    <w:rsid w:val="00011630"/>
    <w:rsid w:val="00012887"/>
    <w:rsid w:val="00013C23"/>
    <w:rsid w:val="000143F9"/>
    <w:rsid w:val="000147A7"/>
    <w:rsid w:val="000152D3"/>
    <w:rsid w:val="00015CAE"/>
    <w:rsid w:val="00015DE8"/>
    <w:rsid w:val="0001657D"/>
    <w:rsid w:val="0001796A"/>
    <w:rsid w:val="00020686"/>
    <w:rsid w:val="00021653"/>
    <w:rsid w:val="00023FC6"/>
    <w:rsid w:val="00024FAA"/>
    <w:rsid w:val="00025CE4"/>
    <w:rsid w:val="0002693E"/>
    <w:rsid w:val="00026FC4"/>
    <w:rsid w:val="000276A3"/>
    <w:rsid w:val="000305FF"/>
    <w:rsid w:val="00030761"/>
    <w:rsid w:val="00030D3B"/>
    <w:rsid w:val="00030DC5"/>
    <w:rsid w:val="00030F55"/>
    <w:rsid w:val="0003101C"/>
    <w:rsid w:val="00032EA4"/>
    <w:rsid w:val="00033397"/>
    <w:rsid w:val="000338DD"/>
    <w:rsid w:val="00034BF8"/>
    <w:rsid w:val="00034D12"/>
    <w:rsid w:val="0003553F"/>
    <w:rsid w:val="00035677"/>
    <w:rsid w:val="000365C3"/>
    <w:rsid w:val="000368BE"/>
    <w:rsid w:val="0003767C"/>
    <w:rsid w:val="00037A01"/>
    <w:rsid w:val="00037AFB"/>
    <w:rsid w:val="00040095"/>
    <w:rsid w:val="0004017A"/>
    <w:rsid w:val="00041313"/>
    <w:rsid w:val="00042275"/>
    <w:rsid w:val="000423DB"/>
    <w:rsid w:val="00042439"/>
    <w:rsid w:val="00042BC2"/>
    <w:rsid w:val="0004341F"/>
    <w:rsid w:val="00044072"/>
    <w:rsid w:val="0004414E"/>
    <w:rsid w:val="00044ED2"/>
    <w:rsid w:val="000453EC"/>
    <w:rsid w:val="00045625"/>
    <w:rsid w:val="00046AE0"/>
    <w:rsid w:val="0004707F"/>
    <w:rsid w:val="00047ED0"/>
    <w:rsid w:val="0005117E"/>
    <w:rsid w:val="000516D8"/>
    <w:rsid w:val="00051F1E"/>
    <w:rsid w:val="0005270E"/>
    <w:rsid w:val="00054320"/>
    <w:rsid w:val="000559A2"/>
    <w:rsid w:val="00056DB2"/>
    <w:rsid w:val="0006135D"/>
    <w:rsid w:val="00061505"/>
    <w:rsid w:val="00064091"/>
    <w:rsid w:val="00065659"/>
    <w:rsid w:val="00065D6B"/>
    <w:rsid w:val="00065DE8"/>
    <w:rsid w:val="00066096"/>
    <w:rsid w:val="00066114"/>
    <w:rsid w:val="00071167"/>
    <w:rsid w:val="000716A1"/>
    <w:rsid w:val="000732E0"/>
    <w:rsid w:val="00073EB1"/>
    <w:rsid w:val="00074261"/>
    <w:rsid w:val="000771A2"/>
    <w:rsid w:val="0007762E"/>
    <w:rsid w:val="00077C88"/>
    <w:rsid w:val="00077D82"/>
    <w:rsid w:val="00080512"/>
    <w:rsid w:val="000812F8"/>
    <w:rsid w:val="00082723"/>
    <w:rsid w:val="0008429B"/>
    <w:rsid w:val="00084591"/>
    <w:rsid w:val="00085173"/>
    <w:rsid w:val="00085EA2"/>
    <w:rsid w:val="00086667"/>
    <w:rsid w:val="00086E7B"/>
    <w:rsid w:val="0008762B"/>
    <w:rsid w:val="00087E3D"/>
    <w:rsid w:val="00090401"/>
    <w:rsid w:val="00090468"/>
    <w:rsid w:val="00090CEE"/>
    <w:rsid w:val="00090EBD"/>
    <w:rsid w:val="000926D3"/>
    <w:rsid w:val="00092E9C"/>
    <w:rsid w:val="00093164"/>
    <w:rsid w:val="000937B0"/>
    <w:rsid w:val="00095C4E"/>
    <w:rsid w:val="00095F90"/>
    <w:rsid w:val="00096258"/>
    <w:rsid w:val="0009788E"/>
    <w:rsid w:val="000A050C"/>
    <w:rsid w:val="000A11F0"/>
    <w:rsid w:val="000A3F9B"/>
    <w:rsid w:val="000A5AD5"/>
    <w:rsid w:val="000A5FB3"/>
    <w:rsid w:val="000B0C46"/>
    <w:rsid w:val="000B0D71"/>
    <w:rsid w:val="000B1613"/>
    <w:rsid w:val="000B1637"/>
    <w:rsid w:val="000B19D0"/>
    <w:rsid w:val="000B2CBF"/>
    <w:rsid w:val="000B4310"/>
    <w:rsid w:val="000B4D19"/>
    <w:rsid w:val="000B4F58"/>
    <w:rsid w:val="000B5198"/>
    <w:rsid w:val="000B7BCF"/>
    <w:rsid w:val="000C0524"/>
    <w:rsid w:val="000C1F60"/>
    <w:rsid w:val="000C2CA3"/>
    <w:rsid w:val="000C2D34"/>
    <w:rsid w:val="000C415C"/>
    <w:rsid w:val="000C416C"/>
    <w:rsid w:val="000C4AA7"/>
    <w:rsid w:val="000C522B"/>
    <w:rsid w:val="000C5567"/>
    <w:rsid w:val="000C5DF5"/>
    <w:rsid w:val="000C77C8"/>
    <w:rsid w:val="000C7894"/>
    <w:rsid w:val="000D023A"/>
    <w:rsid w:val="000D0B0C"/>
    <w:rsid w:val="000D137A"/>
    <w:rsid w:val="000D2711"/>
    <w:rsid w:val="000D30A2"/>
    <w:rsid w:val="000D3C9D"/>
    <w:rsid w:val="000D4A15"/>
    <w:rsid w:val="000D58AB"/>
    <w:rsid w:val="000D5B53"/>
    <w:rsid w:val="000D6ABB"/>
    <w:rsid w:val="000D6B39"/>
    <w:rsid w:val="000D7982"/>
    <w:rsid w:val="000E0388"/>
    <w:rsid w:val="000E427B"/>
    <w:rsid w:val="000E49BE"/>
    <w:rsid w:val="000E55A2"/>
    <w:rsid w:val="000E5617"/>
    <w:rsid w:val="000E6697"/>
    <w:rsid w:val="000E6B11"/>
    <w:rsid w:val="000F03B7"/>
    <w:rsid w:val="000F267D"/>
    <w:rsid w:val="000F2F84"/>
    <w:rsid w:val="000F30BC"/>
    <w:rsid w:val="000F342D"/>
    <w:rsid w:val="000F5314"/>
    <w:rsid w:val="000F5547"/>
    <w:rsid w:val="000F5CC9"/>
    <w:rsid w:val="000F5DDE"/>
    <w:rsid w:val="000F64BF"/>
    <w:rsid w:val="000F796E"/>
    <w:rsid w:val="00101232"/>
    <w:rsid w:val="00101BA1"/>
    <w:rsid w:val="00101CAE"/>
    <w:rsid w:val="00101DEC"/>
    <w:rsid w:val="00102DAD"/>
    <w:rsid w:val="00104704"/>
    <w:rsid w:val="00106455"/>
    <w:rsid w:val="00106C74"/>
    <w:rsid w:val="00107EE0"/>
    <w:rsid w:val="00110512"/>
    <w:rsid w:val="0011222A"/>
    <w:rsid w:val="00112267"/>
    <w:rsid w:val="001158B5"/>
    <w:rsid w:val="00116DE8"/>
    <w:rsid w:val="001170EE"/>
    <w:rsid w:val="00120844"/>
    <w:rsid w:val="00120C85"/>
    <w:rsid w:val="00121FB7"/>
    <w:rsid w:val="001223E0"/>
    <w:rsid w:val="001224F1"/>
    <w:rsid w:val="00122700"/>
    <w:rsid w:val="00123920"/>
    <w:rsid w:val="00123DB1"/>
    <w:rsid w:val="001241A8"/>
    <w:rsid w:val="00124B3D"/>
    <w:rsid w:val="00126209"/>
    <w:rsid w:val="00126D29"/>
    <w:rsid w:val="001271C1"/>
    <w:rsid w:val="00130949"/>
    <w:rsid w:val="00131495"/>
    <w:rsid w:val="00132323"/>
    <w:rsid w:val="0013234A"/>
    <w:rsid w:val="00133B16"/>
    <w:rsid w:val="00134105"/>
    <w:rsid w:val="0013487C"/>
    <w:rsid w:val="00135C51"/>
    <w:rsid w:val="00135EC2"/>
    <w:rsid w:val="00137B44"/>
    <w:rsid w:val="00140C86"/>
    <w:rsid w:val="0014488C"/>
    <w:rsid w:val="00144A38"/>
    <w:rsid w:val="00145075"/>
    <w:rsid w:val="0014593A"/>
    <w:rsid w:val="00145DD6"/>
    <w:rsid w:val="00146FB1"/>
    <w:rsid w:val="0014714F"/>
    <w:rsid w:val="0014751F"/>
    <w:rsid w:val="0014764D"/>
    <w:rsid w:val="00147723"/>
    <w:rsid w:val="00147B8F"/>
    <w:rsid w:val="00147D5A"/>
    <w:rsid w:val="0015032F"/>
    <w:rsid w:val="0015058A"/>
    <w:rsid w:val="00151304"/>
    <w:rsid w:val="0015207F"/>
    <w:rsid w:val="00152357"/>
    <w:rsid w:val="00152965"/>
    <w:rsid w:val="00153076"/>
    <w:rsid w:val="001543BB"/>
    <w:rsid w:val="0015505D"/>
    <w:rsid w:val="001568A4"/>
    <w:rsid w:val="00157634"/>
    <w:rsid w:val="0015777C"/>
    <w:rsid w:val="00157B0B"/>
    <w:rsid w:val="00157C7D"/>
    <w:rsid w:val="00157CA9"/>
    <w:rsid w:val="0016098E"/>
    <w:rsid w:val="001609D0"/>
    <w:rsid w:val="00160AF6"/>
    <w:rsid w:val="00161683"/>
    <w:rsid w:val="001619CF"/>
    <w:rsid w:val="0016224C"/>
    <w:rsid w:val="00162A76"/>
    <w:rsid w:val="001637ED"/>
    <w:rsid w:val="00163DF7"/>
    <w:rsid w:val="00163E1F"/>
    <w:rsid w:val="001645DF"/>
    <w:rsid w:val="00165EF0"/>
    <w:rsid w:val="001662B4"/>
    <w:rsid w:val="00167246"/>
    <w:rsid w:val="001675FE"/>
    <w:rsid w:val="00167A87"/>
    <w:rsid w:val="00171800"/>
    <w:rsid w:val="00171E1A"/>
    <w:rsid w:val="00174173"/>
    <w:rsid w:val="001741A0"/>
    <w:rsid w:val="001752F1"/>
    <w:rsid w:val="001767D8"/>
    <w:rsid w:val="001769F9"/>
    <w:rsid w:val="00176A6D"/>
    <w:rsid w:val="0017733D"/>
    <w:rsid w:val="0017736D"/>
    <w:rsid w:val="001801CC"/>
    <w:rsid w:val="00181456"/>
    <w:rsid w:val="001814AB"/>
    <w:rsid w:val="00181A75"/>
    <w:rsid w:val="00181EE1"/>
    <w:rsid w:val="001821BD"/>
    <w:rsid w:val="001822E5"/>
    <w:rsid w:val="00182DE1"/>
    <w:rsid w:val="00183165"/>
    <w:rsid w:val="001833C6"/>
    <w:rsid w:val="00183953"/>
    <w:rsid w:val="00186DE6"/>
    <w:rsid w:val="00190142"/>
    <w:rsid w:val="0019028B"/>
    <w:rsid w:val="00190C58"/>
    <w:rsid w:val="00191DD5"/>
    <w:rsid w:val="00192549"/>
    <w:rsid w:val="00192BE6"/>
    <w:rsid w:val="00193DA3"/>
    <w:rsid w:val="00194CC5"/>
    <w:rsid w:val="00194CD0"/>
    <w:rsid w:val="001963D6"/>
    <w:rsid w:val="00196C23"/>
    <w:rsid w:val="00196DF8"/>
    <w:rsid w:val="0019788E"/>
    <w:rsid w:val="001A16DE"/>
    <w:rsid w:val="001A2460"/>
    <w:rsid w:val="001A2B4C"/>
    <w:rsid w:val="001A3142"/>
    <w:rsid w:val="001A33F0"/>
    <w:rsid w:val="001A583E"/>
    <w:rsid w:val="001A68CD"/>
    <w:rsid w:val="001A6D8E"/>
    <w:rsid w:val="001A7342"/>
    <w:rsid w:val="001A7C5A"/>
    <w:rsid w:val="001B059A"/>
    <w:rsid w:val="001B1863"/>
    <w:rsid w:val="001B23BA"/>
    <w:rsid w:val="001B2D29"/>
    <w:rsid w:val="001B39BC"/>
    <w:rsid w:val="001B3DF2"/>
    <w:rsid w:val="001B4091"/>
    <w:rsid w:val="001B49C9"/>
    <w:rsid w:val="001B560A"/>
    <w:rsid w:val="001B5FCC"/>
    <w:rsid w:val="001B6282"/>
    <w:rsid w:val="001B6FF1"/>
    <w:rsid w:val="001B720E"/>
    <w:rsid w:val="001B7C2D"/>
    <w:rsid w:val="001C01CB"/>
    <w:rsid w:val="001C0CD7"/>
    <w:rsid w:val="001C1697"/>
    <w:rsid w:val="001C28B2"/>
    <w:rsid w:val="001C2B2E"/>
    <w:rsid w:val="001C595C"/>
    <w:rsid w:val="001C6634"/>
    <w:rsid w:val="001C6E7C"/>
    <w:rsid w:val="001C78BB"/>
    <w:rsid w:val="001D0EF4"/>
    <w:rsid w:val="001D15C1"/>
    <w:rsid w:val="001D2E58"/>
    <w:rsid w:val="001D379F"/>
    <w:rsid w:val="001D3975"/>
    <w:rsid w:val="001D3A7D"/>
    <w:rsid w:val="001D4B32"/>
    <w:rsid w:val="001D4FB0"/>
    <w:rsid w:val="001D599B"/>
    <w:rsid w:val="001D6CF3"/>
    <w:rsid w:val="001E0586"/>
    <w:rsid w:val="001E0E63"/>
    <w:rsid w:val="001E284D"/>
    <w:rsid w:val="001E53A0"/>
    <w:rsid w:val="001E5C04"/>
    <w:rsid w:val="001E602B"/>
    <w:rsid w:val="001E6059"/>
    <w:rsid w:val="001E667A"/>
    <w:rsid w:val="001E70D7"/>
    <w:rsid w:val="001E79A4"/>
    <w:rsid w:val="001F00A8"/>
    <w:rsid w:val="001F168B"/>
    <w:rsid w:val="001F1CFE"/>
    <w:rsid w:val="001F2E7F"/>
    <w:rsid w:val="001F34F3"/>
    <w:rsid w:val="001F55C1"/>
    <w:rsid w:val="001F5C44"/>
    <w:rsid w:val="001F5CC4"/>
    <w:rsid w:val="001F632B"/>
    <w:rsid w:val="001F6B3C"/>
    <w:rsid w:val="001F7831"/>
    <w:rsid w:val="0020111A"/>
    <w:rsid w:val="0020159A"/>
    <w:rsid w:val="002016BF"/>
    <w:rsid w:val="00201844"/>
    <w:rsid w:val="00201B08"/>
    <w:rsid w:val="0020204C"/>
    <w:rsid w:val="002029A9"/>
    <w:rsid w:val="00203645"/>
    <w:rsid w:val="0020370C"/>
    <w:rsid w:val="00204045"/>
    <w:rsid w:val="0020425F"/>
    <w:rsid w:val="00204CA2"/>
    <w:rsid w:val="00206ED3"/>
    <w:rsid w:val="00207079"/>
    <w:rsid w:val="00207223"/>
    <w:rsid w:val="00210089"/>
    <w:rsid w:val="00211EF6"/>
    <w:rsid w:val="00212383"/>
    <w:rsid w:val="00212DFA"/>
    <w:rsid w:val="0021342D"/>
    <w:rsid w:val="0021353E"/>
    <w:rsid w:val="002138DD"/>
    <w:rsid w:val="00213BC1"/>
    <w:rsid w:val="00214E95"/>
    <w:rsid w:val="00214FD1"/>
    <w:rsid w:val="00215C7D"/>
    <w:rsid w:val="002162F3"/>
    <w:rsid w:val="00216471"/>
    <w:rsid w:val="00216FA7"/>
    <w:rsid w:val="00217A4C"/>
    <w:rsid w:val="00217CBC"/>
    <w:rsid w:val="00220646"/>
    <w:rsid w:val="00221DC7"/>
    <w:rsid w:val="00221E06"/>
    <w:rsid w:val="00222E1E"/>
    <w:rsid w:val="00222E9B"/>
    <w:rsid w:val="0022361C"/>
    <w:rsid w:val="00223A13"/>
    <w:rsid w:val="00223AD3"/>
    <w:rsid w:val="00224198"/>
    <w:rsid w:val="002244A9"/>
    <w:rsid w:val="00225498"/>
    <w:rsid w:val="0022589F"/>
    <w:rsid w:val="00225C84"/>
    <w:rsid w:val="0022606D"/>
    <w:rsid w:val="0022609C"/>
    <w:rsid w:val="00226205"/>
    <w:rsid w:val="00226347"/>
    <w:rsid w:val="00233196"/>
    <w:rsid w:val="0023335F"/>
    <w:rsid w:val="00233A4C"/>
    <w:rsid w:val="00233CCF"/>
    <w:rsid w:val="00234C4B"/>
    <w:rsid w:val="00234D51"/>
    <w:rsid w:val="00235144"/>
    <w:rsid w:val="00235E96"/>
    <w:rsid w:val="0023614D"/>
    <w:rsid w:val="002364A5"/>
    <w:rsid w:val="00242BC2"/>
    <w:rsid w:val="00242D19"/>
    <w:rsid w:val="0024485F"/>
    <w:rsid w:val="00244AC1"/>
    <w:rsid w:val="0024521D"/>
    <w:rsid w:val="00245B7D"/>
    <w:rsid w:val="00247D9E"/>
    <w:rsid w:val="00247FC8"/>
    <w:rsid w:val="00250812"/>
    <w:rsid w:val="00250B04"/>
    <w:rsid w:val="0025406F"/>
    <w:rsid w:val="00254484"/>
    <w:rsid w:val="002553B3"/>
    <w:rsid w:val="0025560D"/>
    <w:rsid w:val="00256B66"/>
    <w:rsid w:val="00260AE7"/>
    <w:rsid w:val="00261537"/>
    <w:rsid w:val="00262113"/>
    <w:rsid w:val="00262ABE"/>
    <w:rsid w:val="00262C41"/>
    <w:rsid w:val="00262EDD"/>
    <w:rsid w:val="0026614D"/>
    <w:rsid w:val="0027053F"/>
    <w:rsid w:val="00270ED2"/>
    <w:rsid w:val="00270F19"/>
    <w:rsid w:val="00271935"/>
    <w:rsid w:val="00271B79"/>
    <w:rsid w:val="00271E30"/>
    <w:rsid w:val="00271E96"/>
    <w:rsid w:val="00272C79"/>
    <w:rsid w:val="002747EC"/>
    <w:rsid w:val="00274E85"/>
    <w:rsid w:val="0027537D"/>
    <w:rsid w:val="002779A1"/>
    <w:rsid w:val="002805EC"/>
    <w:rsid w:val="00281980"/>
    <w:rsid w:val="002828C0"/>
    <w:rsid w:val="00282E36"/>
    <w:rsid w:val="0028311E"/>
    <w:rsid w:val="00284D00"/>
    <w:rsid w:val="002855BF"/>
    <w:rsid w:val="00290663"/>
    <w:rsid w:val="00290FC1"/>
    <w:rsid w:val="002915E1"/>
    <w:rsid w:val="002927F2"/>
    <w:rsid w:val="00293031"/>
    <w:rsid w:val="00294D7C"/>
    <w:rsid w:val="002956AA"/>
    <w:rsid w:val="002966A8"/>
    <w:rsid w:val="0029691E"/>
    <w:rsid w:val="00296DE5"/>
    <w:rsid w:val="002A00A9"/>
    <w:rsid w:val="002A09FF"/>
    <w:rsid w:val="002A463F"/>
    <w:rsid w:val="002A4AD1"/>
    <w:rsid w:val="002A64CB"/>
    <w:rsid w:val="002A717B"/>
    <w:rsid w:val="002A798F"/>
    <w:rsid w:val="002B17AD"/>
    <w:rsid w:val="002B2BE3"/>
    <w:rsid w:val="002B2FC5"/>
    <w:rsid w:val="002B3A68"/>
    <w:rsid w:val="002B3E0B"/>
    <w:rsid w:val="002B4A31"/>
    <w:rsid w:val="002B4AC3"/>
    <w:rsid w:val="002B4BA8"/>
    <w:rsid w:val="002B69DE"/>
    <w:rsid w:val="002B7133"/>
    <w:rsid w:val="002C037E"/>
    <w:rsid w:val="002C07D8"/>
    <w:rsid w:val="002C102C"/>
    <w:rsid w:val="002C20DD"/>
    <w:rsid w:val="002C2E8F"/>
    <w:rsid w:val="002C3919"/>
    <w:rsid w:val="002C4A37"/>
    <w:rsid w:val="002C4B01"/>
    <w:rsid w:val="002C6EDD"/>
    <w:rsid w:val="002C708A"/>
    <w:rsid w:val="002C72D4"/>
    <w:rsid w:val="002C7C92"/>
    <w:rsid w:val="002D10D9"/>
    <w:rsid w:val="002D1D6B"/>
    <w:rsid w:val="002D2415"/>
    <w:rsid w:val="002D2AB9"/>
    <w:rsid w:val="002D2DCB"/>
    <w:rsid w:val="002D3172"/>
    <w:rsid w:val="002D4340"/>
    <w:rsid w:val="002D50EB"/>
    <w:rsid w:val="002E13C5"/>
    <w:rsid w:val="002E18BB"/>
    <w:rsid w:val="002E1D57"/>
    <w:rsid w:val="002E2CD5"/>
    <w:rsid w:val="002E3585"/>
    <w:rsid w:val="002E386F"/>
    <w:rsid w:val="002E3CCA"/>
    <w:rsid w:val="002E4270"/>
    <w:rsid w:val="002E44DA"/>
    <w:rsid w:val="002E598B"/>
    <w:rsid w:val="002E61FD"/>
    <w:rsid w:val="002E7B35"/>
    <w:rsid w:val="002F0C02"/>
    <w:rsid w:val="002F0D22"/>
    <w:rsid w:val="002F1ED3"/>
    <w:rsid w:val="002F267E"/>
    <w:rsid w:val="002F39BB"/>
    <w:rsid w:val="002F3C58"/>
    <w:rsid w:val="002F55AC"/>
    <w:rsid w:val="002F61D6"/>
    <w:rsid w:val="0030002C"/>
    <w:rsid w:val="003007BF"/>
    <w:rsid w:val="0030249C"/>
    <w:rsid w:val="00302AFC"/>
    <w:rsid w:val="00303EE5"/>
    <w:rsid w:val="00305A52"/>
    <w:rsid w:val="00305ECA"/>
    <w:rsid w:val="00306271"/>
    <w:rsid w:val="003118DC"/>
    <w:rsid w:val="00311E70"/>
    <w:rsid w:val="00312A2C"/>
    <w:rsid w:val="00313562"/>
    <w:rsid w:val="003136AE"/>
    <w:rsid w:val="00314064"/>
    <w:rsid w:val="00314429"/>
    <w:rsid w:val="0031467C"/>
    <w:rsid w:val="00314EDF"/>
    <w:rsid w:val="00316444"/>
    <w:rsid w:val="003164AD"/>
    <w:rsid w:val="00316792"/>
    <w:rsid w:val="003169A2"/>
    <w:rsid w:val="003172DC"/>
    <w:rsid w:val="00320A6B"/>
    <w:rsid w:val="00320E41"/>
    <w:rsid w:val="00321520"/>
    <w:rsid w:val="003217D4"/>
    <w:rsid w:val="00322B92"/>
    <w:rsid w:val="00322BD0"/>
    <w:rsid w:val="00322D89"/>
    <w:rsid w:val="003237E8"/>
    <w:rsid w:val="003240F3"/>
    <w:rsid w:val="0032434D"/>
    <w:rsid w:val="0032558C"/>
    <w:rsid w:val="00326019"/>
    <w:rsid w:val="00326069"/>
    <w:rsid w:val="00326242"/>
    <w:rsid w:val="0032655A"/>
    <w:rsid w:val="0033176D"/>
    <w:rsid w:val="00331D99"/>
    <w:rsid w:val="00333081"/>
    <w:rsid w:val="00333BDE"/>
    <w:rsid w:val="00334544"/>
    <w:rsid w:val="00335983"/>
    <w:rsid w:val="00335990"/>
    <w:rsid w:val="003360BD"/>
    <w:rsid w:val="00336957"/>
    <w:rsid w:val="0033695D"/>
    <w:rsid w:val="00336CEE"/>
    <w:rsid w:val="00336E66"/>
    <w:rsid w:val="00336E72"/>
    <w:rsid w:val="00337B1A"/>
    <w:rsid w:val="003408F6"/>
    <w:rsid w:val="00340AC4"/>
    <w:rsid w:val="00341408"/>
    <w:rsid w:val="003414FC"/>
    <w:rsid w:val="003417CA"/>
    <w:rsid w:val="00341C3A"/>
    <w:rsid w:val="003424E1"/>
    <w:rsid w:val="00342578"/>
    <w:rsid w:val="00343C86"/>
    <w:rsid w:val="00344236"/>
    <w:rsid w:val="003442D2"/>
    <w:rsid w:val="00344969"/>
    <w:rsid w:val="00344C13"/>
    <w:rsid w:val="003452AB"/>
    <w:rsid w:val="003459C4"/>
    <w:rsid w:val="00345E90"/>
    <w:rsid w:val="0034639E"/>
    <w:rsid w:val="00346563"/>
    <w:rsid w:val="003468B9"/>
    <w:rsid w:val="00346B5D"/>
    <w:rsid w:val="00346D47"/>
    <w:rsid w:val="00347001"/>
    <w:rsid w:val="003502C3"/>
    <w:rsid w:val="00350E3B"/>
    <w:rsid w:val="003512E5"/>
    <w:rsid w:val="00351DDD"/>
    <w:rsid w:val="00353AC9"/>
    <w:rsid w:val="00353EFF"/>
    <w:rsid w:val="003543AB"/>
    <w:rsid w:val="0035462D"/>
    <w:rsid w:val="00354E1B"/>
    <w:rsid w:val="00355989"/>
    <w:rsid w:val="00356CC3"/>
    <w:rsid w:val="003577E7"/>
    <w:rsid w:val="003603A9"/>
    <w:rsid w:val="0036066F"/>
    <w:rsid w:val="00360AEC"/>
    <w:rsid w:val="00360E1A"/>
    <w:rsid w:val="003611C1"/>
    <w:rsid w:val="00362020"/>
    <w:rsid w:val="00362050"/>
    <w:rsid w:val="0036248E"/>
    <w:rsid w:val="003650E7"/>
    <w:rsid w:val="00365F68"/>
    <w:rsid w:val="003665E1"/>
    <w:rsid w:val="0036720B"/>
    <w:rsid w:val="00370364"/>
    <w:rsid w:val="00371744"/>
    <w:rsid w:val="00372D36"/>
    <w:rsid w:val="00374BAF"/>
    <w:rsid w:val="00375247"/>
    <w:rsid w:val="00375A2E"/>
    <w:rsid w:val="00375CCC"/>
    <w:rsid w:val="003764E1"/>
    <w:rsid w:val="00376792"/>
    <w:rsid w:val="003773C6"/>
    <w:rsid w:val="00380A4A"/>
    <w:rsid w:val="00380A53"/>
    <w:rsid w:val="00381F76"/>
    <w:rsid w:val="00381FB6"/>
    <w:rsid w:val="00382A17"/>
    <w:rsid w:val="00382AC9"/>
    <w:rsid w:val="00382B15"/>
    <w:rsid w:val="00383752"/>
    <w:rsid w:val="003839E9"/>
    <w:rsid w:val="00383D39"/>
    <w:rsid w:val="00384448"/>
    <w:rsid w:val="00384E6A"/>
    <w:rsid w:val="003860EA"/>
    <w:rsid w:val="0038664C"/>
    <w:rsid w:val="0038677D"/>
    <w:rsid w:val="0039145F"/>
    <w:rsid w:val="003921CE"/>
    <w:rsid w:val="00392F03"/>
    <w:rsid w:val="00394322"/>
    <w:rsid w:val="00394D47"/>
    <w:rsid w:val="00395806"/>
    <w:rsid w:val="00397BE9"/>
    <w:rsid w:val="003A1265"/>
    <w:rsid w:val="003A16C0"/>
    <w:rsid w:val="003A181B"/>
    <w:rsid w:val="003A2659"/>
    <w:rsid w:val="003A3EA0"/>
    <w:rsid w:val="003A40EE"/>
    <w:rsid w:val="003A415E"/>
    <w:rsid w:val="003A45D4"/>
    <w:rsid w:val="003A4664"/>
    <w:rsid w:val="003A4749"/>
    <w:rsid w:val="003A4DA4"/>
    <w:rsid w:val="003A4E37"/>
    <w:rsid w:val="003A4EBF"/>
    <w:rsid w:val="003A50F8"/>
    <w:rsid w:val="003A5C13"/>
    <w:rsid w:val="003A71DD"/>
    <w:rsid w:val="003B0C5F"/>
    <w:rsid w:val="003B1B8C"/>
    <w:rsid w:val="003B372F"/>
    <w:rsid w:val="003B3B2C"/>
    <w:rsid w:val="003B3DFA"/>
    <w:rsid w:val="003B40AD"/>
    <w:rsid w:val="003B5BB7"/>
    <w:rsid w:val="003B6713"/>
    <w:rsid w:val="003B7AD1"/>
    <w:rsid w:val="003C0176"/>
    <w:rsid w:val="003C0FA8"/>
    <w:rsid w:val="003C117A"/>
    <w:rsid w:val="003C1A8C"/>
    <w:rsid w:val="003C1BCC"/>
    <w:rsid w:val="003C1FA1"/>
    <w:rsid w:val="003C2271"/>
    <w:rsid w:val="003C4451"/>
    <w:rsid w:val="003C4E37"/>
    <w:rsid w:val="003C6194"/>
    <w:rsid w:val="003C66DE"/>
    <w:rsid w:val="003C6E89"/>
    <w:rsid w:val="003D0570"/>
    <w:rsid w:val="003D0659"/>
    <w:rsid w:val="003D0AEF"/>
    <w:rsid w:val="003D1462"/>
    <w:rsid w:val="003D159B"/>
    <w:rsid w:val="003D2286"/>
    <w:rsid w:val="003D2A66"/>
    <w:rsid w:val="003D2B58"/>
    <w:rsid w:val="003D2C5B"/>
    <w:rsid w:val="003D3389"/>
    <w:rsid w:val="003D368C"/>
    <w:rsid w:val="003D3F2A"/>
    <w:rsid w:val="003D3FB5"/>
    <w:rsid w:val="003D41F1"/>
    <w:rsid w:val="003D4662"/>
    <w:rsid w:val="003D561D"/>
    <w:rsid w:val="003D6072"/>
    <w:rsid w:val="003D7042"/>
    <w:rsid w:val="003D762B"/>
    <w:rsid w:val="003D7E3F"/>
    <w:rsid w:val="003E0643"/>
    <w:rsid w:val="003E16BE"/>
    <w:rsid w:val="003E1F2D"/>
    <w:rsid w:val="003E36DF"/>
    <w:rsid w:val="003E4A6A"/>
    <w:rsid w:val="003E4D05"/>
    <w:rsid w:val="003E4DDA"/>
    <w:rsid w:val="003E530B"/>
    <w:rsid w:val="003E588D"/>
    <w:rsid w:val="003E6C37"/>
    <w:rsid w:val="003E6CEC"/>
    <w:rsid w:val="003E6D72"/>
    <w:rsid w:val="003F037E"/>
    <w:rsid w:val="003F18E9"/>
    <w:rsid w:val="003F1AF2"/>
    <w:rsid w:val="003F28F4"/>
    <w:rsid w:val="003F3E81"/>
    <w:rsid w:val="003F4BC0"/>
    <w:rsid w:val="003F7693"/>
    <w:rsid w:val="003F799F"/>
    <w:rsid w:val="003F7BB3"/>
    <w:rsid w:val="00400113"/>
    <w:rsid w:val="00400701"/>
    <w:rsid w:val="00400AF9"/>
    <w:rsid w:val="00401520"/>
    <w:rsid w:val="00401855"/>
    <w:rsid w:val="00402AC2"/>
    <w:rsid w:val="004032C7"/>
    <w:rsid w:val="00403C9A"/>
    <w:rsid w:val="00405800"/>
    <w:rsid w:val="0040734B"/>
    <w:rsid w:val="00410637"/>
    <w:rsid w:val="004119E9"/>
    <w:rsid w:val="004123E8"/>
    <w:rsid w:val="00412662"/>
    <w:rsid w:val="0041286F"/>
    <w:rsid w:val="0041296E"/>
    <w:rsid w:val="00413649"/>
    <w:rsid w:val="00414A8D"/>
    <w:rsid w:val="004165E2"/>
    <w:rsid w:val="00416B1A"/>
    <w:rsid w:val="004174BD"/>
    <w:rsid w:val="00420392"/>
    <w:rsid w:val="004203A6"/>
    <w:rsid w:val="00420DD6"/>
    <w:rsid w:val="00421A80"/>
    <w:rsid w:val="004223D5"/>
    <w:rsid w:val="0042394C"/>
    <w:rsid w:val="004251BE"/>
    <w:rsid w:val="00425D0C"/>
    <w:rsid w:val="004269D0"/>
    <w:rsid w:val="004275A9"/>
    <w:rsid w:val="00430D92"/>
    <w:rsid w:val="004316D5"/>
    <w:rsid w:val="0043311F"/>
    <w:rsid w:val="0043393F"/>
    <w:rsid w:val="00433AE9"/>
    <w:rsid w:val="00434681"/>
    <w:rsid w:val="0043492C"/>
    <w:rsid w:val="00434D94"/>
    <w:rsid w:val="00435311"/>
    <w:rsid w:val="004359B7"/>
    <w:rsid w:val="004378F1"/>
    <w:rsid w:val="00437E0C"/>
    <w:rsid w:val="00440AA6"/>
    <w:rsid w:val="00441F4C"/>
    <w:rsid w:val="004423B4"/>
    <w:rsid w:val="00442AB4"/>
    <w:rsid w:val="00443341"/>
    <w:rsid w:val="004439D5"/>
    <w:rsid w:val="00443F2A"/>
    <w:rsid w:val="00447102"/>
    <w:rsid w:val="00447717"/>
    <w:rsid w:val="004477E7"/>
    <w:rsid w:val="00447946"/>
    <w:rsid w:val="00451FF3"/>
    <w:rsid w:val="004522CC"/>
    <w:rsid w:val="00452AD0"/>
    <w:rsid w:val="00453473"/>
    <w:rsid w:val="004534B2"/>
    <w:rsid w:val="0045378B"/>
    <w:rsid w:val="00453F33"/>
    <w:rsid w:val="0045411A"/>
    <w:rsid w:val="004545E0"/>
    <w:rsid w:val="00454656"/>
    <w:rsid w:val="00456872"/>
    <w:rsid w:val="00456B3D"/>
    <w:rsid w:val="00457661"/>
    <w:rsid w:val="00460045"/>
    <w:rsid w:val="00462BC9"/>
    <w:rsid w:val="00463569"/>
    <w:rsid w:val="00464E0E"/>
    <w:rsid w:val="00465CB0"/>
    <w:rsid w:val="00465E1B"/>
    <w:rsid w:val="00466468"/>
    <w:rsid w:val="004666C1"/>
    <w:rsid w:val="00466DD5"/>
    <w:rsid w:val="004672EE"/>
    <w:rsid w:val="00467A94"/>
    <w:rsid w:val="00470799"/>
    <w:rsid w:val="00471CDE"/>
    <w:rsid w:val="0047331C"/>
    <w:rsid w:val="00473A27"/>
    <w:rsid w:val="00473AAE"/>
    <w:rsid w:val="00474C33"/>
    <w:rsid w:val="0047536C"/>
    <w:rsid w:val="0047662E"/>
    <w:rsid w:val="00476C52"/>
    <w:rsid w:val="00476CAD"/>
    <w:rsid w:val="00476D3C"/>
    <w:rsid w:val="00477455"/>
    <w:rsid w:val="004807E3"/>
    <w:rsid w:val="0048130D"/>
    <w:rsid w:val="00481FC7"/>
    <w:rsid w:val="00482B57"/>
    <w:rsid w:val="004832C4"/>
    <w:rsid w:val="00483C1D"/>
    <w:rsid w:val="00485492"/>
    <w:rsid w:val="00485BDB"/>
    <w:rsid w:val="00486410"/>
    <w:rsid w:val="004864C2"/>
    <w:rsid w:val="00486B43"/>
    <w:rsid w:val="00486FEA"/>
    <w:rsid w:val="00490D4E"/>
    <w:rsid w:val="00491B86"/>
    <w:rsid w:val="00492258"/>
    <w:rsid w:val="00492558"/>
    <w:rsid w:val="004925DF"/>
    <w:rsid w:val="00493287"/>
    <w:rsid w:val="00493D2B"/>
    <w:rsid w:val="00494EA9"/>
    <w:rsid w:val="0049656C"/>
    <w:rsid w:val="004972DD"/>
    <w:rsid w:val="004A0319"/>
    <w:rsid w:val="004A087E"/>
    <w:rsid w:val="004A0D80"/>
    <w:rsid w:val="004A2B72"/>
    <w:rsid w:val="004A2D7D"/>
    <w:rsid w:val="004A32F3"/>
    <w:rsid w:val="004A4700"/>
    <w:rsid w:val="004A59FA"/>
    <w:rsid w:val="004A68F4"/>
    <w:rsid w:val="004B0AAB"/>
    <w:rsid w:val="004B20E3"/>
    <w:rsid w:val="004B3659"/>
    <w:rsid w:val="004B39DD"/>
    <w:rsid w:val="004B3B18"/>
    <w:rsid w:val="004B41F8"/>
    <w:rsid w:val="004B5CED"/>
    <w:rsid w:val="004B6388"/>
    <w:rsid w:val="004B68D7"/>
    <w:rsid w:val="004B7120"/>
    <w:rsid w:val="004B7886"/>
    <w:rsid w:val="004B7A0B"/>
    <w:rsid w:val="004C1531"/>
    <w:rsid w:val="004C181F"/>
    <w:rsid w:val="004C1974"/>
    <w:rsid w:val="004C20BD"/>
    <w:rsid w:val="004C229D"/>
    <w:rsid w:val="004C2E68"/>
    <w:rsid w:val="004C35A3"/>
    <w:rsid w:val="004C57F5"/>
    <w:rsid w:val="004C5A95"/>
    <w:rsid w:val="004C5C04"/>
    <w:rsid w:val="004C642F"/>
    <w:rsid w:val="004C6BCC"/>
    <w:rsid w:val="004C7E7C"/>
    <w:rsid w:val="004D0DD6"/>
    <w:rsid w:val="004D1DC6"/>
    <w:rsid w:val="004D3578"/>
    <w:rsid w:val="004D380D"/>
    <w:rsid w:val="004D383A"/>
    <w:rsid w:val="004D57A9"/>
    <w:rsid w:val="004E0137"/>
    <w:rsid w:val="004E01D9"/>
    <w:rsid w:val="004E0926"/>
    <w:rsid w:val="004E0C79"/>
    <w:rsid w:val="004E0CD4"/>
    <w:rsid w:val="004E0EE9"/>
    <w:rsid w:val="004E213A"/>
    <w:rsid w:val="004E23D7"/>
    <w:rsid w:val="004E2917"/>
    <w:rsid w:val="004E383E"/>
    <w:rsid w:val="004E48C4"/>
    <w:rsid w:val="004E4B53"/>
    <w:rsid w:val="004E5142"/>
    <w:rsid w:val="004E59E1"/>
    <w:rsid w:val="004E7CCA"/>
    <w:rsid w:val="004F0DE1"/>
    <w:rsid w:val="004F10A5"/>
    <w:rsid w:val="004F156A"/>
    <w:rsid w:val="004F158C"/>
    <w:rsid w:val="004F2DDE"/>
    <w:rsid w:val="004F34FB"/>
    <w:rsid w:val="004F3CFE"/>
    <w:rsid w:val="004F51B8"/>
    <w:rsid w:val="004F76F3"/>
    <w:rsid w:val="005001F2"/>
    <w:rsid w:val="0050055F"/>
    <w:rsid w:val="00502735"/>
    <w:rsid w:val="00502BC6"/>
    <w:rsid w:val="00503171"/>
    <w:rsid w:val="005037A0"/>
    <w:rsid w:val="0050524D"/>
    <w:rsid w:val="0050543D"/>
    <w:rsid w:val="00505E9B"/>
    <w:rsid w:val="00506C28"/>
    <w:rsid w:val="00510AF8"/>
    <w:rsid w:val="0051153F"/>
    <w:rsid w:val="00511F56"/>
    <w:rsid w:val="00512674"/>
    <w:rsid w:val="0051299A"/>
    <w:rsid w:val="00513BFF"/>
    <w:rsid w:val="005148BF"/>
    <w:rsid w:val="00514A09"/>
    <w:rsid w:val="00515D32"/>
    <w:rsid w:val="00516518"/>
    <w:rsid w:val="005166D3"/>
    <w:rsid w:val="005169F2"/>
    <w:rsid w:val="0051770A"/>
    <w:rsid w:val="005208AC"/>
    <w:rsid w:val="00522978"/>
    <w:rsid w:val="005234CD"/>
    <w:rsid w:val="00523AF1"/>
    <w:rsid w:val="00523F98"/>
    <w:rsid w:val="00523FEE"/>
    <w:rsid w:val="00527DE0"/>
    <w:rsid w:val="00531145"/>
    <w:rsid w:val="00532A92"/>
    <w:rsid w:val="00532B12"/>
    <w:rsid w:val="00534DA0"/>
    <w:rsid w:val="0053506A"/>
    <w:rsid w:val="0053529C"/>
    <w:rsid w:val="0053556B"/>
    <w:rsid w:val="00535C0F"/>
    <w:rsid w:val="00536F33"/>
    <w:rsid w:val="00540007"/>
    <w:rsid w:val="00543855"/>
    <w:rsid w:val="00543E6C"/>
    <w:rsid w:val="00543F5F"/>
    <w:rsid w:val="0054417F"/>
    <w:rsid w:val="005458E5"/>
    <w:rsid w:val="00546749"/>
    <w:rsid w:val="00546C98"/>
    <w:rsid w:val="00546CB4"/>
    <w:rsid w:val="0055050A"/>
    <w:rsid w:val="005506D7"/>
    <w:rsid w:val="005513E1"/>
    <w:rsid w:val="00551814"/>
    <w:rsid w:val="00551ED5"/>
    <w:rsid w:val="00551ED6"/>
    <w:rsid w:val="00551F97"/>
    <w:rsid w:val="00552D11"/>
    <w:rsid w:val="00553021"/>
    <w:rsid w:val="005539F6"/>
    <w:rsid w:val="00554096"/>
    <w:rsid w:val="0055415B"/>
    <w:rsid w:val="005547F0"/>
    <w:rsid w:val="00557966"/>
    <w:rsid w:val="00560655"/>
    <w:rsid w:val="0056076A"/>
    <w:rsid w:val="00560D54"/>
    <w:rsid w:val="00561B0D"/>
    <w:rsid w:val="00561CD2"/>
    <w:rsid w:val="00562071"/>
    <w:rsid w:val="00562A1A"/>
    <w:rsid w:val="0056469D"/>
    <w:rsid w:val="005646A1"/>
    <w:rsid w:val="0056480F"/>
    <w:rsid w:val="00565087"/>
    <w:rsid w:val="0056573F"/>
    <w:rsid w:val="00566413"/>
    <w:rsid w:val="00566566"/>
    <w:rsid w:val="005702AA"/>
    <w:rsid w:val="0057072F"/>
    <w:rsid w:val="00570858"/>
    <w:rsid w:val="0057085C"/>
    <w:rsid w:val="00571414"/>
    <w:rsid w:val="00571FB4"/>
    <w:rsid w:val="00572B99"/>
    <w:rsid w:val="0057356F"/>
    <w:rsid w:val="00573B7D"/>
    <w:rsid w:val="00573DDF"/>
    <w:rsid w:val="005740A5"/>
    <w:rsid w:val="00574CF4"/>
    <w:rsid w:val="0057551C"/>
    <w:rsid w:val="005759D8"/>
    <w:rsid w:val="0057656C"/>
    <w:rsid w:val="0057705C"/>
    <w:rsid w:val="005771E4"/>
    <w:rsid w:val="0058047C"/>
    <w:rsid w:val="00580A44"/>
    <w:rsid w:val="00580E96"/>
    <w:rsid w:val="005818DB"/>
    <w:rsid w:val="005829B4"/>
    <w:rsid w:val="00582B71"/>
    <w:rsid w:val="00582CDB"/>
    <w:rsid w:val="00583265"/>
    <w:rsid w:val="00583FB8"/>
    <w:rsid w:val="00584632"/>
    <w:rsid w:val="00584D30"/>
    <w:rsid w:val="00584EE9"/>
    <w:rsid w:val="005855AB"/>
    <w:rsid w:val="005862E2"/>
    <w:rsid w:val="00586897"/>
    <w:rsid w:val="00586CF6"/>
    <w:rsid w:val="00586EA2"/>
    <w:rsid w:val="00586F6E"/>
    <w:rsid w:val="00587B48"/>
    <w:rsid w:val="0059000C"/>
    <w:rsid w:val="005900CE"/>
    <w:rsid w:val="0059049F"/>
    <w:rsid w:val="00590690"/>
    <w:rsid w:val="005910E6"/>
    <w:rsid w:val="00591100"/>
    <w:rsid w:val="00591783"/>
    <w:rsid w:val="005920E6"/>
    <w:rsid w:val="00592432"/>
    <w:rsid w:val="00592CA3"/>
    <w:rsid w:val="00593B6E"/>
    <w:rsid w:val="00593BDE"/>
    <w:rsid w:val="00593D72"/>
    <w:rsid w:val="0059652A"/>
    <w:rsid w:val="005A0B84"/>
    <w:rsid w:val="005A0BC5"/>
    <w:rsid w:val="005A14B6"/>
    <w:rsid w:val="005A166D"/>
    <w:rsid w:val="005A1D32"/>
    <w:rsid w:val="005A1E04"/>
    <w:rsid w:val="005A1EB8"/>
    <w:rsid w:val="005A6916"/>
    <w:rsid w:val="005A71AD"/>
    <w:rsid w:val="005A7235"/>
    <w:rsid w:val="005A73AD"/>
    <w:rsid w:val="005B1DC5"/>
    <w:rsid w:val="005B249B"/>
    <w:rsid w:val="005B2659"/>
    <w:rsid w:val="005B3C9A"/>
    <w:rsid w:val="005B3F3E"/>
    <w:rsid w:val="005B4474"/>
    <w:rsid w:val="005B46AD"/>
    <w:rsid w:val="005B5177"/>
    <w:rsid w:val="005B68A3"/>
    <w:rsid w:val="005B7E46"/>
    <w:rsid w:val="005C0207"/>
    <w:rsid w:val="005C0F62"/>
    <w:rsid w:val="005C13F7"/>
    <w:rsid w:val="005C15EC"/>
    <w:rsid w:val="005C2845"/>
    <w:rsid w:val="005C3B10"/>
    <w:rsid w:val="005C43EE"/>
    <w:rsid w:val="005C4449"/>
    <w:rsid w:val="005C44CD"/>
    <w:rsid w:val="005C461E"/>
    <w:rsid w:val="005C528A"/>
    <w:rsid w:val="005C679D"/>
    <w:rsid w:val="005C71E8"/>
    <w:rsid w:val="005C7E45"/>
    <w:rsid w:val="005D07DE"/>
    <w:rsid w:val="005D25A3"/>
    <w:rsid w:val="005D3307"/>
    <w:rsid w:val="005D4E7C"/>
    <w:rsid w:val="005D5311"/>
    <w:rsid w:val="005D53AD"/>
    <w:rsid w:val="005D5447"/>
    <w:rsid w:val="005D661E"/>
    <w:rsid w:val="005D70C4"/>
    <w:rsid w:val="005D7B38"/>
    <w:rsid w:val="005E1080"/>
    <w:rsid w:val="005E1669"/>
    <w:rsid w:val="005E1A07"/>
    <w:rsid w:val="005E2266"/>
    <w:rsid w:val="005E2884"/>
    <w:rsid w:val="005E359C"/>
    <w:rsid w:val="005E4486"/>
    <w:rsid w:val="005E4DF7"/>
    <w:rsid w:val="005E5D4F"/>
    <w:rsid w:val="005E6A6C"/>
    <w:rsid w:val="005E6E6B"/>
    <w:rsid w:val="005F071B"/>
    <w:rsid w:val="005F1A14"/>
    <w:rsid w:val="005F1C94"/>
    <w:rsid w:val="005F21F1"/>
    <w:rsid w:val="005F2295"/>
    <w:rsid w:val="005F2551"/>
    <w:rsid w:val="005F2EDF"/>
    <w:rsid w:val="005F3692"/>
    <w:rsid w:val="005F3922"/>
    <w:rsid w:val="005F4E8E"/>
    <w:rsid w:val="005F54B2"/>
    <w:rsid w:val="005F70C3"/>
    <w:rsid w:val="005F7843"/>
    <w:rsid w:val="0060164A"/>
    <w:rsid w:val="00602641"/>
    <w:rsid w:val="0060285E"/>
    <w:rsid w:val="00603219"/>
    <w:rsid w:val="00604765"/>
    <w:rsid w:val="00604E26"/>
    <w:rsid w:val="00605118"/>
    <w:rsid w:val="006067A4"/>
    <w:rsid w:val="00606878"/>
    <w:rsid w:val="006079F6"/>
    <w:rsid w:val="006112AF"/>
    <w:rsid w:val="00611566"/>
    <w:rsid w:val="00613340"/>
    <w:rsid w:val="00614757"/>
    <w:rsid w:val="00614EE6"/>
    <w:rsid w:val="00615BC1"/>
    <w:rsid w:val="00615CCD"/>
    <w:rsid w:val="00616D86"/>
    <w:rsid w:val="00621140"/>
    <w:rsid w:val="006211DA"/>
    <w:rsid w:val="00621371"/>
    <w:rsid w:val="00621EBC"/>
    <w:rsid w:val="00623713"/>
    <w:rsid w:val="00623A25"/>
    <w:rsid w:val="0062427C"/>
    <w:rsid w:val="00624826"/>
    <w:rsid w:val="00624A06"/>
    <w:rsid w:val="00625618"/>
    <w:rsid w:val="00626696"/>
    <w:rsid w:val="00626997"/>
    <w:rsid w:val="0062739F"/>
    <w:rsid w:val="00627B6F"/>
    <w:rsid w:val="00630301"/>
    <w:rsid w:val="00631DBD"/>
    <w:rsid w:val="00632222"/>
    <w:rsid w:val="00634A1E"/>
    <w:rsid w:val="00634DF9"/>
    <w:rsid w:val="00635F47"/>
    <w:rsid w:val="00637338"/>
    <w:rsid w:val="006402F4"/>
    <w:rsid w:val="00640D76"/>
    <w:rsid w:val="006416F3"/>
    <w:rsid w:val="00641740"/>
    <w:rsid w:val="00641A3D"/>
    <w:rsid w:val="00641F14"/>
    <w:rsid w:val="00642C4E"/>
    <w:rsid w:val="0064411C"/>
    <w:rsid w:val="006454FE"/>
    <w:rsid w:val="006455EE"/>
    <w:rsid w:val="00645D44"/>
    <w:rsid w:val="006465F3"/>
    <w:rsid w:val="00646B77"/>
    <w:rsid w:val="00646D99"/>
    <w:rsid w:val="00647E8B"/>
    <w:rsid w:val="00650084"/>
    <w:rsid w:val="00650C29"/>
    <w:rsid w:val="00650F33"/>
    <w:rsid w:val="00651125"/>
    <w:rsid w:val="00651930"/>
    <w:rsid w:val="00651A6B"/>
    <w:rsid w:val="00652646"/>
    <w:rsid w:val="00652CF2"/>
    <w:rsid w:val="006531CD"/>
    <w:rsid w:val="00656910"/>
    <w:rsid w:val="00657362"/>
    <w:rsid w:val="00657C9E"/>
    <w:rsid w:val="006600CD"/>
    <w:rsid w:val="00660764"/>
    <w:rsid w:val="00661676"/>
    <w:rsid w:val="00662592"/>
    <w:rsid w:val="0066344B"/>
    <w:rsid w:val="00663AAF"/>
    <w:rsid w:val="00664631"/>
    <w:rsid w:val="00665BE7"/>
    <w:rsid w:val="00666483"/>
    <w:rsid w:val="00666DD5"/>
    <w:rsid w:val="006678B0"/>
    <w:rsid w:val="00670D63"/>
    <w:rsid w:val="00670FA9"/>
    <w:rsid w:val="00671987"/>
    <w:rsid w:val="006729E9"/>
    <w:rsid w:val="00672B57"/>
    <w:rsid w:val="00672E6C"/>
    <w:rsid w:val="006731E0"/>
    <w:rsid w:val="00675761"/>
    <w:rsid w:val="00675D82"/>
    <w:rsid w:val="00676012"/>
    <w:rsid w:val="006762DC"/>
    <w:rsid w:val="006766AE"/>
    <w:rsid w:val="0067697E"/>
    <w:rsid w:val="006776C8"/>
    <w:rsid w:val="00677E20"/>
    <w:rsid w:val="0068064C"/>
    <w:rsid w:val="00680C10"/>
    <w:rsid w:val="006811AE"/>
    <w:rsid w:val="00681379"/>
    <w:rsid w:val="006829F2"/>
    <w:rsid w:val="00682D58"/>
    <w:rsid w:val="00682FA2"/>
    <w:rsid w:val="0068513B"/>
    <w:rsid w:val="006856CF"/>
    <w:rsid w:val="00687E4D"/>
    <w:rsid w:val="006901D6"/>
    <w:rsid w:val="006919F8"/>
    <w:rsid w:val="006926BA"/>
    <w:rsid w:val="00692FC3"/>
    <w:rsid w:val="006931E4"/>
    <w:rsid w:val="00693373"/>
    <w:rsid w:val="00694012"/>
    <w:rsid w:val="00694D2A"/>
    <w:rsid w:val="006965CD"/>
    <w:rsid w:val="006969F8"/>
    <w:rsid w:val="00696C1B"/>
    <w:rsid w:val="00696DF2"/>
    <w:rsid w:val="00697858"/>
    <w:rsid w:val="006A1436"/>
    <w:rsid w:val="006A180F"/>
    <w:rsid w:val="006A2591"/>
    <w:rsid w:val="006A2641"/>
    <w:rsid w:val="006A334F"/>
    <w:rsid w:val="006A3AC2"/>
    <w:rsid w:val="006A4518"/>
    <w:rsid w:val="006A456D"/>
    <w:rsid w:val="006A48C8"/>
    <w:rsid w:val="006A5153"/>
    <w:rsid w:val="006A54BE"/>
    <w:rsid w:val="006A6620"/>
    <w:rsid w:val="006A6944"/>
    <w:rsid w:val="006B0254"/>
    <w:rsid w:val="006B1EBB"/>
    <w:rsid w:val="006B35EC"/>
    <w:rsid w:val="006B4D84"/>
    <w:rsid w:val="006B605E"/>
    <w:rsid w:val="006B6466"/>
    <w:rsid w:val="006B7943"/>
    <w:rsid w:val="006C0204"/>
    <w:rsid w:val="006C1519"/>
    <w:rsid w:val="006C1850"/>
    <w:rsid w:val="006C4CB7"/>
    <w:rsid w:val="006C4CC8"/>
    <w:rsid w:val="006C6225"/>
    <w:rsid w:val="006C66D8"/>
    <w:rsid w:val="006C768F"/>
    <w:rsid w:val="006C7F23"/>
    <w:rsid w:val="006D00B9"/>
    <w:rsid w:val="006D0C80"/>
    <w:rsid w:val="006D0E95"/>
    <w:rsid w:val="006D0EC9"/>
    <w:rsid w:val="006D1466"/>
    <w:rsid w:val="006D1E24"/>
    <w:rsid w:val="006D21DD"/>
    <w:rsid w:val="006D26EE"/>
    <w:rsid w:val="006D299B"/>
    <w:rsid w:val="006D448F"/>
    <w:rsid w:val="006D472C"/>
    <w:rsid w:val="006D478E"/>
    <w:rsid w:val="006D4CB0"/>
    <w:rsid w:val="006D4F13"/>
    <w:rsid w:val="006D6538"/>
    <w:rsid w:val="006D6BA6"/>
    <w:rsid w:val="006D6C42"/>
    <w:rsid w:val="006D7C66"/>
    <w:rsid w:val="006D7D62"/>
    <w:rsid w:val="006E08C3"/>
    <w:rsid w:val="006E1417"/>
    <w:rsid w:val="006E1583"/>
    <w:rsid w:val="006E4365"/>
    <w:rsid w:val="006E43AB"/>
    <w:rsid w:val="006E4C2D"/>
    <w:rsid w:val="006E5AD2"/>
    <w:rsid w:val="006E7397"/>
    <w:rsid w:val="006F0D09"/>
    <w:rsid w:val="006F0EE0"/>
    <w:rsid w:val="006F110E"/>
    <w:rsid w:val="006F17E0"/>
    <w:rsid w:val="006F1952"/>
    <w:rsid w:val="006F1C88"/>
    <w:rsid w:val="006F25E4"/>
    <w:rsid w:val="006F32EA"/>
    <w:rsid w:val="006F3A17"/>
    <w:rsid w:val="006F47F6"/>
    <w:rsid w:val="006F5690"/>
    <w:rsid w:val="006F5D11"/>
    <w:rsid w:val="006F621F"/>
    <w:rsid w:val="006F62AC"/>
    <w:rsid w:val="006F6A2C"/>
    <w:rsid w:val="006F6E95"/>
    <w:rsid w:val="006F78E6"/>
    <w:rsid w:val="006F7D2D"/>
    <w:rsid w:val="0070058D"/>
    <w:rsid w:val="00701028"/>
    <w:rsid w:val="00702AAA"/>
    <w:rsid w:val="00702F97"/>
    <w:rsid w:val="00703143"/>
    <w:rsid w:val="00704C10"/>
    <w:rsid w:val="00705D88"/>
    <w:rsid w:val="00706575"/>
    <w:rsid w:val="007068ED"/>
    <w:rsid w:val="00710201"/>
    <w:rsid w:val="0071066B"/>
    <w:rsid w:val="007119C1"/>
    <w:rsid w:val="00712508"/>
    <w:rsid w:val="00713634"/>
    <w:rsid w:val="00713A79"/>
    <w:rsid w:val="00714B47"/>
    <w:rsid w:val="00715050"/>
    <w:rsid w:val="0071593F"/>
    <w:rsid w:val="00715CEE"/>
    <w:rsid w:val="00716280"/>
    <w:rsid w:val="0071689E"/>
    <w:rsid w:val="0071735D"/>
    <w:rsid w:val="00717A1C"/>
    <w:rsid w:val="0072014D"/>
    <w:rsid w:val="00721002"/>
    <w:rsid w:val="007219DE"/>
    <w:rsid w:val="00721FCB"/>
    <w:rsid w:val="00723702"/>
    <w:rsid w:val="0072715C"/>
    <w:rsid w:val="00727896"/>
    <w:rsid w:val="00730422"/>
    <w:rsid w:val="00730736"/>
    <w:rsid w:val="00730C08"/>
    <w:rsid w:val="00730F67"/>
    <w:rsid w:val="007312D2"/>
    <w:rsid w:val="007317F6"/>
    <w:rsid w:val="00734A5B"/>
    <w:rsid w:val="00734CEE"/>
    <w:rsid w:val="00735E81"/>
    <w:rsid w:val="00735F8A"/>
    <w:rsid w:val="00737C20"/>
    <w:rsid w:val="0074043B"/>
    <w:rsid w:val="00740DC3"/>
    <w:rsid w:val="007418B7"/>
    <w:rsid w:val="007419EF"/>
    <w:rsid w:val="00741E7A"/>
    <w:rsid w:val="0074346C"/>
    <w:rsid w:val="007435A0"/>
    <w:rsid w:val="0074426B"/>
    <w:rsid w:val="00744E76"/>
    <w:rsid w:val="007460EF"/>
    <w:rsid w:val="00746114"/>
    <w:rsid w:val="0074662F"/>
    <w:rsid w:val="007476B5"/>
    <w:rsid w:val="007478F0"/>
    <w:rsid w:val="00747A03"/>
    <w:rsid w:val="00747D0A"/>
    <w:rsid w:val="00747F96"/>
    <w:rsid w:val="007501F3"/>
    <w:rsid w:val="007504A9"/>
    <w:rsid w:val="0075199C"/>
    <w:rsid w:val="00752EEA"/>
    <w:rsid w:val="00753591"/>
    <w:rsid w:val="007542F1"/>
    <w:rsid w:val="00754765"/>
    <w:rsid w:val="00754845"/>
    <w:rsid w:val="00754A4C"/>
    <w:rsid w:val="00754F5F"/>
    <w:rsid w:val="00756027"/>
    <w:rsid w:val="007566DF"/>
    <w:rsid w:val="00757D40"/>
    <w:rsid w:val="00760022"/>
    <w:rsid w:val="0076028A"/>
    <w:rsid w:val="00761B1F"/>
    <w:rsid w:val="00761BB5"/>
    <w:rsid w:val="007633DD"/>
    <w:rsid w:val="007636D3"/>
    <w:rsid w:val="007636DB"/>
    <w:rsid w:val="007658B7"/>
    <w:rsid w:val="00765DA9"/>
    <w:rsid w:val="007665C4"/>
    <w:rsid w:val="0076792F"/>
    <w:rsid w:val="00771416"/>
    <w:rsid w:val="00771599"/>
    <w:rsid w:val="00771A48"/>
    <w:rsid w:val="00771BCD"/>
    <w:rsid w:val="00771E2F"/>
    <w:rsid w:val="00773A96"/>
    <w:rsid w:val="00773ACB"/>
    <w:rsid w:val="0077401B"/>
    <w:rsid w:val="007748E2"/>
    <w:rsid w:val="00775595"/>
    <w:rsid w:val="00776125"/>
    <w:rsid w:val="00776516"/>
    <w:rsid w:val="00776C2C"/>
    <w:rsid w:val="00776CED"/>
    <w:rsid w:val="007811A2"/>
    <w:rsid w:val="00781396"/>
    <w:rsid w:val="00781F0F"/>
    <w:rsid w:val="00781FA2"/>
    <w:rsid w:val="00782C71"/>
    <w:rsid w:val="00783E27"/>
    <w:rsid w:val="0078448D"/>
    <w:rsid w:val="007846F6"/>
    <w:rsid w:val="007851AB"/>
    <w:rsid w:val="0078543A"/>
    <w:rsid w:val="00785DE8"/>
    <w:rsid w:val="00785E00"/>
    <w:rsid w:val="00786052"/>
    <w:rsid w:val="00786A8D"/>
    <w:rsid w:val="00786D72"/>
    <w:rsid w:val="00786DED"/>
    <w:rsid w:val="00787207"/>
    <w:rsid w:val="0078727C"/>
    <w:rsid w:val="00787E4E"/>
    <w:rsid w:val="0079049D"/>
    <w:rsid w:val="00790D6E"/>
    <w:rsid w:val="007914C8"/>
    <w:rsid w:val="00793504"/>
    <w:rsid w:val="00793A53"/>
    <w:rsid w:val="00793CCC"/>
    <w:rsid w:val="00793E48"/>
    <w:rsid w:val="00794590"/>
    <w:rsid w:val="0079664E"/>
    <w:rsid w:val="00797A11"/>
    <w:rsid w:val="007A022B"/>
    <w:rsid w:val="007A0634"/>
    <w:rsid w:val="007A1EE3"/>
    <w:rsid w:val="007A2383"/>
    <w:rsid w:val="007A25CF"/>
    <w:rsid w:val="007A4B57"/>
    <w:rsid w:val="007A5735"/>
    <w:rsid w:val="007A574A"/>
    <w:rsid w:val="007A72E5"/>
    <w:rsid w:val="007A7FF9"/>
    <w:rsid w:val="007B0E56"/>
    <w:rsid w:val="007B12D7"/>
    <w:rsid w:val="007B18D8"/>
    <w:rsid w:val="007B327B"/>
    <w:rsid w:val="007B3472"/>
    <w:rsid w:val="007B4E45"/>
    <w:rsid w:val="007B5408"/>
    <w:rsid w:val="007B579C"/>
    <w:rsid w:val="007B5C20"/>
    <w:rsid w:val="007B7D44"/>
    <w:rsid w:val="007C095F"/>
    <w:rsid w:val="007C160B"/>
    <w:rsid w:val="007C1897"/>
    <w:rsid w:val="007C2012"/>
    <w:rsid w:val="007C2977"/>
    <w:rsid w:val="007C3413"/>
    <w:rsid w:val="007C39DE"/>
    <w:rsid w:val="007C3F9A"/>
    <w:rsid w:val="007C4179"/>
    <w:rsid w:val="007C4222"/>
    <w:rsid w:val="007C5707"/>
    <w:rsid w:val="007C67D2"/>
    <w:rsid w:val="007C6916"/>
    <w:rsid w:val="007C6D72"/>
    <w:rsid w:val="007C77C4"/>
    <w:rsid w:val="007D107C"/>
    <w:rsid w:val="007D1B85"/>
    <w:rsid w:val="007D1FD5"/>
    <w:rsid w:val="007D2E4B"/>
    <w:rsid w:val="007D309E"/>
    <w:rsid w:val="007D3AF6"/>
    <w:rsid w:val="007D4B38"/>
    <w:rsid w:val="007D5BED"/>
    <w:rsid w:val="007D5E6C"/>
    <w:rsid w:val="007D5EF6"/>
    <w:rsid w:val="007D5EFB"/>
    <w:rsid w:val="007D692E"/>
    <w:rsid w:val="007D7D25"/>
    <w:rsid w:val="007E03DE"/>
    <w:rsid w:val="007E4556"/>
    <w:rsid w:val="007E457A"/>
    <w:rsid w:val="007E485A"/>
    <w:rsid w:val="007E515A"/>
    <w:rsid w:val="007E710B"/>
    <w:rsid w:val="007E7F95"/>
    <w:rsid w:val="007F04EE"/>
    <w:rsid w:val="007F14AD"/>
    <w:rsid w:val="007F1531"/>
    <w:rsid w:val="007F17F7"/>
    <w:rsid w:val="007F2A38"/>
    <w:rsid w:val="007F31EB"/>
    <w:rsid w:val="007F3E65"/>
    <w:rsid w:val="007F7268"/>
    <w:rsid w:val="007F7342"/>
    <w:rsid w:val="007F7946"/>
    <w:rsid w:val="00800D57"/>
    <w:rsid w:val="00801A90"/>
    <w:rsid w:val="00801ADC"/>
    <w:rsid w:val="00801D40"/>
    <w:rsid w:val="00801EDA"/>
    <w:rsid w:val="008028A4"/>
    <w:rsid w:val="00802F07"/>
    <w:rsid w:val="0080333D"/>
    <w:rsid w:val="008042EF"/>
    <w:rsid w:val="008054A8"/>
    <w:rsid w:val="00805E0B"/>
    <w:rsid w:val="00806310"/>
    <w:rsid w:val="00810BC7"/>
    <w:rsid w:val="00812B0C"/>
    <w:rsid w:val="00813245"/>
    <w:rsid w:val="00813603"/>
    <w:rsid w:val="00815481"/>
    <w:rsid w:val="00815694"/>
    <w:rsid w:val="00815852"/>
    <w:rsid w:val="00815B65"/>
    <w:rsid w:val="008168B6"/>
    <w:rsid w:val="00816BCA"/>
    <w:rsid w:val="00816D27"/>
    <w:rsid w:val="00817883"/>
    <w:rsid w:val="00820AB0"/>
    <w:rsid w:val="0082162B"/>
    <w:rsid w:val="00821AED"/>
    <w:rsid w:val="0082216A"/>
    <w:rsid w:val="00822184"/>
    <w:rsid w:val="00823732"/>
    <w:rsid w:val="0082391A"/>
    <w:rsid w:val="00823DA9"/>
    <w:rsid w:val="00824755"/>
    <w:rsid w:val="008265B1"/>
    <w:rsid w:val="008267DC"/>
    <w:rsid w:val="008301FB"/>
    <w:rsid w:val="0083050B"/>
    <w:rsid w:val="0083052D"/>
    <w:rsid w:val="0083100C"/>
    <w:rsid w:val="00831C50"/>
    <w:rsid w:val="008324A5"/>
    <w:rsid w:val="0083352A"/>
    <w:rsid w:val="00834604"/>
    <w:rsid w:val="00834669"/>
    <w:rsid w:val="008347A3"/>
    <w:rsid w:val="00834868"/>
    <w:rsid w:val="00834A6D"/>
    <w:rsid w:val="00835415"/>
    <w:rsid w:val="00840883"/>
    <w:rsid w:val="00840B67"/>
    <w:rsid w:val="00842B0B"/>
    <w:rsid w:val="00844B44"/>
    <w:rsid w:val="00845847"/>
    <w:rsid w:val="00845E80"/>
    <w:rsid w:val="008460EF"/>
    <w:rsid w:val="0084614F"/>
    <w:rsid w:val="008464E4"/>
    <w:rsid w:val="00847242"/>
    <w:rsid w:val="0084763A"/>
    <w:rsid w:val="00850BBB"/>
    <w:rsid w:val="00850CBF"/>
    <w:rsid w:val="00851218"/>
    <w:rsid w:val="00851B45"/>
    <w:rsid w:val="008526A9"/>
    <w:rsid w:val="00854A4F"/>
    <w:rsid w:val="00854AD0"/>
    <w:rsid w:val="00855178"/>
    <w:rsid w:val="00856127"/>
    <w:rsid w:val="0085698E"/>
    <w:rsid w:val="008571AD"/>
    <w:rsid w:val="00857329"/>
    <w:rsid w:val="00857756"/>
    <w:rsid w:val="008604C3"/>
    <w:rsid w:val="00860820"/>
    <w:rsid w:val="00860BEE"/>
    <w:rsid w:val="00860D01"/>
    <w:rsid w:val="00862BA3"/>
    <w:rsid w:val="0086528E"/>
    <w:rsid w:val="008664C4"/>
    <w:rsid w:val="00867D0B"/>
    <w:rsid w:val="00867F46"/>
    <w:rsid w:val="00870B46"/>
    <w:rsid w:val="008732B8"/>
    <w:rsid w:val="00873320"/>
    <w:rsid w:val="00874665"/>
    <w:rsid w:val="008765A4"/>
    <w:rsid w:val="008768CA"/>
    <w:rsid w:val="008773D4"/>
    <w:rsid w:val="00877EA6"/>
    <w:rsid w:val="00877EF9"/>
    <w:rsid w:val="00880559"/>
    <w:rsid w:val="00880FF7"/>
    <w:rsid w:val="008811ED"/>
    <w:rsid w:val="00881CEB"/>
    <w:rsid w:val="00882AE0"/>
    <w:rsid w:val="00882C69"/>
    <w:rsid w:val="00882EA8"/>
    <w:rsid w:val="00882F12"/>
    <w:rsid w:val="00884B7E"/>
    <w:rsid w:val="00884F4E"/>
    <w:rsid w:val="008863D0"/>
    <w:rsid w:val="00886422"/>
    <w:rsid w:val="0088691C"/>
    <w:rsid w:val="008873F5"/>
    <w:rsid w:val="00887C52"/>
    <w:rsid w:val="00890DD8"/>
    <w:rsid w:val="00890F79"/>
    <w:rsid w:val="008916F0"/>
    <w:rsid w:val="0089339C"/>
    <w:rsid w:val="00893663"/>
    <w:rsid w:val="00894069"/>
    <w:rsid w:val="00895302"/>
    <w:rsid w:val="008953A5"/>
    <w:rsid w:val="00896192"/>
    <w:rsid w:val="00896849"/>
    <w:rsid w:val="008A0335"/>
    <w:rsid w:val="008A0516"/>
    <w:rsid w:val="008A07BA"/>
    <w:rsid w:val="008A130F"/>
    <w:rsid w:val="008A15D5"/>
    <w:rsid w:val="008A1D28"/>
    <w:rsid w:val="008A203C"/>
    <w:rsid w:val="008A27FC"/>
    <w:rsid w:val="008A2D12"/>
    <w:rsid w:val="008A4513"/>
    <w:rsid w:val="008A506B"/>
    <w:rsid w:val="008A55BC"/>
    <w:rsid w:val="008B0DCD"/>
    <w:rsid w:val="008B1662"/>
    <w:rsid w:val="008B192A"/>
    <w:rsid w:val="008B44F1"/>
    <w:rsid w:val="008B477F"/>
    <w:rsid w:val="008B5306"/>
    <w:rsid w:val="008B560E"/>
    <w:rsid w:val="008B566A"/>
    <w:rsid w:val="008B5A1C"/>
    <w:rsid w:val="008B681A"/>
    <w:rsid w:val="008C01CF"/>
    <w:rsid w:val="008C0D89"/>
    <w:rsid w:val="008C0E06"/>
    <w:rsid w:val="008C0E07"/>
    <w:rsid w:val="008C10E2"/>
    <w:rsid w:val="008C1100"/>
    <w:rsid w:val="008C1A63"/>
    <w:rsid w:val="008C20AD"/>
    <w:rsid w:val="008C20F7"/>
    <w:rsid w:val="008C2738"/>
    <w:rsid w:val="008C3436"/>
    <w:rsid w:val="008C35C7"/>
    <w:rsid w:val="008C3F92"/>
    <w:rsid w:val="008C42B8"/>
    <w:rsid w:val="008C71A0"/>
    <w:rsid w:val="008C7888"/>
    <w:rsid w:val="008D05CE"/>
    <w:rsid w:val="008D0626"/>
    <w:rsid w:val="008D0839"/>
    <w:rsid w:val="008D1CD5"/>
    <w:rsid w:val="008D2258"/>
    <w:rsid w:val="008D2CEE"/>
    <w:rsid w:val="008D3E3A"/>
    <w:rsid w:val="008D467A"/>
    <w:rsid w:val="008D74D6"/>
    <w:rsid w:val="008E131E"/>
    <w:rsid w:val="008E22FF"/>
    <w:rsid w:val="008E345E"/>
    <w:rsid w:val="008E3B19"/>
    <w:rsid w:val="008E3CF0"/>
    <w:rsid w:val="008E412B"/>
    <w:rsid w:val="008E41FE"/>
    <w:rsid w:val="008E46A4"/>
    <w:rsid w:val="008E4C3E"/>
    <w:rsid w:val="008E5567"/>
    <w:rsid w:val="008E60D9"/>
    <w:rsid w:val="008F2003"/>
    <w:rsid w:val="008F2039"/>
    <w:rsid w:val="008F2BF7"/>
    <w:rsid w:val="008F2D46"/>
    <w:rsid w:val="008F2E9A"/>
    <w:rsid w:val="00900B9A"/>
    <w:rsid w:val="00901335"/>
    <w:rsid w:val="0090138E"/>
    <w:rsid w:val="0090187C"/>
    <w:rsid w:val="009020CA"/>
    <w:rsid w:val="009024E8"/>
    <w:rsid w:val="0090271F"/>
    <w:rsid w:val="00902DB9"/>
    <w:rsid w:val="00902E36"/>
    <w:rsid w:val="00903DD4"/>
    <w:rsid w:val="0090466A"/>
    <w:rsid w:val="00904AB7"/>
    <w:rsid w:val="009062D3"/>
    <w:rsid w:val="0090708C"/>
    <w:rsid w:val="00907DD2"/>
    <w:rsid w:val="00911A3A"/>
    <w:rsid w:val="00911DEA"/>
    <w:rsid w:val="00912204"/>
    <w:rsid w:val="00912830"/>
    <w:rsid w:val="00912CD4"/>
    <w:rsid w:val="009136BC"/>
    <w:rsid w:val="00913C47"/>
    <w:rsid w:val="00913FB1"/>
    <w:rsid w:val="009145A4"/>
    <w:rsid w:val="00915711"/>
    <w:rsid w:val="009161B2"/>
    <w:rsid w:val="0091771F"/>
    <w:rsid w:val="00917ABE"/>
    <w:rsid w:val="0092024A"/>
    <w:rsid w:val="0092098D"/>
    <w:rsid w:val="00921F58"/>
    <w:rsid w:val="00922DC1"/>
    <w:rsid w:val="0092322B"/>
    <w:rsid w:val="00924497"/>
    <w:rsid w:val="00924827"/>
    <w:rsid w:val="00924D2C"/>
    <w:rsid w:val="0092657D"/>
    <w:rsid w:val="00931360"/>
    <w:rsid w:val="009314D4"/>
    <w:rsid w:val="00931AF4"/>
    <w:rsid w:val="00933F83"/>
    <w:rsid w:val="0093495A"/>
    <w:rsid w:val="00936071"/>
    <w:rsid w:val="00940212"/>
    <w:rsid w:val="0094197F"/>
    <w:rsid w:val="00941D95"/>
    <w:rsid w:val="00942810"/>
    <w:rsid w:val="00942E6A"/>
    <w:rsid w:val="00942EC2"/>
    <w:rsid w:val="00942FA6"/>
    <w:rsid w:val="00943958"/>
    <w:rsid w:val="00943ADE"/>
    <w:rsid w:val="00944389"/>
    <w:rsid w:val="009454B8"/>
    <w:rsid w:val="00945884"/>
    <w:rsid w:val="00945A86"/>
    <w:rsid w:val="00945B30"/>
    <w:rsid w:val="009466BE"/>
    <w:rsid w:val="00946A16"/>
    <w:rsid w:val="0094798C"/>
    <w:rsid w:val="00951EF9"/>
    <w:rsid w:val="00952A0E"/>
    <w:rsid w:val="0095306B"/>
    <w:rsid w:val="0095382B"/>
    <w:rsid w:val="00954F57"/>
    <w:rsid w:val="00955470"/>
    <w:rsid w:val="009556D0"/>
    <w:rsid w:val="00956606"/>
    <w:rsid w:val="00956A9D"/>
    <w:rsid w:val="009579AC"/>
    <w:rsid w:val="00957D2B"/>
    <w:rsid w:val="00957E6F"/>
    <w:rsid w:val="00960588"/>
    <w:rsid w:val="00960B0F"/>
    <w:rsid w:val="00960C32"/>
    <w:rsid w:val="009616AA"/>
    <w:rsid w:val="00961B32"/>
    <w:rsid w:val="00962174"/>
    <w:rsid w:val="0096294B"/>
    <w:rsid w:val="0096408F"/>
    <w:rsid w:val="00964344"/>
    <w:rsid w:val="009656AD"/>
    <w:rsid w:val="009658F8"/>
    <w:rsid w:val="00965AC8"/>
    <w:rsid w:val="00965EAA"/>
    <w:rsid w:val="009709BE"/>
    <w:rsid w:val="00970DB3"/>
    <w:rsid w:val="00971212"/>
    <w:rsid w:val="0097355D"/>
    <w:rsid w:val="009738F6"/>
    <w:rsid w:val="00974940"/>
    <w:rsid w:val="00974B05"/>
    <w:rsid w:val="00974BB0"/>
    <w:rsid w:val="00976D97"/>
    <w:rsid w:val="0097702E"/>
    <w:rsid w:val="009777CF"/>
    <w:rsid w:val="0098074A"/>
    <w:rsid w:val="0098205E"/>
    <w:rsid w:val="00983387"/>
    <w:rsid w:val="009839FB"/>
    <w:rsid w:val="00983BCB"/>
    <w:rsid w:val="00983F29"/>
    <w:rsid w:val="00984778"/>
    <w:rsid w:val="00985155"/>
    <w:rsid w:val="009851DF"/>
    <w:rsid w:val="009859BF"/>
    <w:rsid w:val="00985E09"/>
    <w:rsid w:val="00986211"/>
    <w:rsid w:val="00986279"/>
    <w:rsid w:val="009871BA"/>
    <w:rsid w:val="009877F1"/>
    <w:rsid w:val="00990913"/>
    <w:rsid w:val="00991EA8"/>
    <w:rsid w:val="0099343F"/>
    <w:rsid w:val="00993EBD"/>
    <w:rsid w:val="00994A4F"/>
    <w:rsid w:val="009951D6"/>
    <w:rsid w:val="00995433"/>
    <w:rsid w:val="0099581A"/>
    <w:rsid w:val="00995C57"/>
    <w:rsid w:val="00996096"/>
    <w:rsid w:val="00996146"/>
    <w:rsid w:val="009A0AF3"/>
    <w:rsid w:val="009A1A7C"/>
    <w:rsid w:val="009A1E95"/>
    <w:rsid w:val="009A36A2"/>
    <w:rsid w:val="009A4136"/>
    <w:rsid w:val="009A443C"/>
    <w:rsid w:val="009A4C1F"/>
    <w:rsid w:val="009A50C5"/>
    <w:rsid w:val="009A5788"/>
    <w:rsid w:val="009A67E0"/>
    <w:rsid w:val="009A7362"/>
    <w:rsid w:val="009A7F1A"/>
    <w:rsid w:val="009B07CD"/>
    <w:rsid w:val="009B0F6E"/>
    <w:rsid w:val="009B113E"/>
    <w:rsid w:val="009B16DE"/>
    <w:rsid w:val="009B1ABB"/>
    <w:rsid w:val="009B2074"/>
    <w:rsid w:val="009B2AB5"/>
    <w:rsid w:val="009B6E5C"/>
    <w:rsid w:val="009B70A3"/>
    <w:rsid w:val="009B73A2"/>
    <w:rsid w:val="009C19E9"/>
    <w:rsid w:val="009C1AA5"/>
    <w:rsid w:val="009C2148"/>
    <w:rsid w:val="009C427D"/>
    <w:rsid w:val="009C4B6F"/>
    <w:rsid w:val="009C57C8"/>
    <w:rsid w:val="009C59B4"/>
    <w:rsid w:val="009C7072"/>
    <w:rsid w:val="009D0363"/>
    <w:rsid w:val="009D0CD3"/>
    <w:rsid w:val="009D13CA"/>
    <w:rsid w:val="009D2AD2"/>
    <w:rsid w:val="009D2DA6"/>
    <w:rsid w:val="009D3147"/>
    <w:rsid w:val="009D3714"/>
    <w:rsid w:val="009D428C"/>
    <w:rsid w:val="009D4FAF"/>
    <w:rsid w:val="009D5E99"/>
    <w:rsid w:val="009D63AB"/>
    <w:rsid w:val="009D7755"/>
    <w:rsid w:val="009E079A"/>
    <w:rsid w:val="009E1A17"/>
    <w:rsid w:val="009E2947"/>
    <w:rsid w:val="009E2AA6"/>
    <w:rsid w:val="009E3C02"/>
    <w:rsid w:val="009E3D1A"/>
    <w:rsid w:val="009E44ED"/>
    <w:rsid w:val="009E57A1"/>
    <w:rsid w:val="009E747C"/>
    <w:rsid w:val="009E79BE"/>
    <w:rsid w:val="009F07C1"/>
    <w:rsid w:val="009F10C0"/>
    <w:rsid w:val="009F10CA"/>
    <w:rsid w:val="009F1F82"/>
    <w:rsid w:val="009F2F08"/>
    <w:rsid w:val="009F3289"/>
    <w:rsid w:val="009F407D"/>
    <w:rsid w:val="009F59CE"/>
    <w:rsid w:val="009F64AF"/>
    <w:rsid w:val="009F69DE"/>
    <w:rsid w:val="009F7994"/>
    <w:rsid w:val="009F799D"/>
    <w:rsid w:val="009F7E84"/>
    <w:rsid w:val="00A00EC3"/>
    <w:rsid w:val="00A029FB"/>
    <w:rsid w:val="00A0342C"/>
    <w:rsid w:val="00A03918"/>
    <w:rsid w:val="00A03B42"/>
    <w:rsid w:val="00A0497D"/>
    <w:rsid w:val="00A05DE2"/>
    <w:rsid w:val="00A06206"/>
    <w:rsid w:val="00A067FE"/>
    <w:rsid w:val="00A06C95"/>
    <w:rsid w:val="00A108CF"/>
    <w:rsid w:val="00A10F02"/>
    <w:rsid w:val="00A11888"/>
    <w:rsid w:val="00A138BD"/>
    <w:rsid w:val="00A14E25"/>
    <w:rsid w:val="00A14E7A"/>
    <w:rsid w:val="00A15FB2"/>
    <w:rsid w:val="00A16DF1"/>
    <w:rsid w:val="00A204CA"/>
    <w:rsid w:val="00A207D2"/>
    <w:rsid w:val="00A215F6"/>
    <w:rsid w:val="00A228FD"/>
    <w:rsid w:val="00A23966"/>
    <w:rsid w:val="00A23AC0"/>
    <w:rsid w:val="00A2408D"/>
    <w:rsid w:val="00A242F5"/>
    <w:rsid w:val="00A24CE3"/>
    <w:rsid w:val="00A25850"/>
    <w:rsid w:val="00A25A22"/>
    <w:rsid w:val="00A25F51"/>
    <w:rsid w:val="00A26593"/>
    <w:rsid w:val="00A270B0"/>
    <w:rsid w:val="00A270FA"/>
    <w:rsid w:val="00A27275"/>
    <w:rsid w:val="00A300A0"/>
    <w:rsid w:val="00A308BB"/>
    <w:rsid w:val="00A30E3E"/>
    <w:rsid w:val="00A31AB2"/>
    <w:rsid w:val="00A31D17"/>
    <w:rsid w:val="00A32493"/>
    <w:rsid w:val="00A32E13"/>
    <w:rsid w:val="00A34005"/>
    <w:rsid w:val="00A35014"/>
    <w:rsid w:val="00A35830"/>
    <w:rsid w:val="00A36E10"/>
    <w:rsid w:val="00A423AE"/>
    <w:rsid w:val="00A4289C"/>
    <w:rsid w:val="00A43A2E"/>
    <w:rsid w:val="00A4476C"/>
    <w:rsid w:val="00A44AE9"/>
    <w:rsid w:val="00A45665"/>
    <w:rsid w:val="00A46AB5"/>
    <w:rsid w:val="00A47B93"/>
    <w:rsid w:val="00A5146F"/>
    <w:rsid w:val="00A52986"/>
    <w:rsid w:val="00A52CC6"/>
    <w:rsid w:val="00A53724"/>
    <w:rsid w:val="00A54151"/>
    <w:rsid w:val="00A54875"/>
    <w:rsid w:val="00A54A9E"/>
    <w:rsid w:val="00A55549"/>
    <w:rsid w:val="00A557C9"/>
    <w:rsid w:val="00A566A2"/>
    <w:rsid w:val="00A56E0F"/>
    <w:rsid w:val="00A57AD8"/>
    <w:rsid w:val="00A61839"/>
    <w:rsid w:val="00A62BFC"/>
    <w:rsid w:val="00A6330F"/>
    <w:rsid w:val="00A64498"/>
    <w:rsid w:val="00A6496B"/>
    <w:rsid w:val="00A65425"/>
    <w:rsid w:val="00A65C1F"/>
    <w:rsid w:val="00A66990"/>
    <w:rsid w:val="00A679FB"/>
    <w:rsid w:val="00A718DA"/>
    <w:rsid w:val="00A7247E"/>
    <w:rsid w:val="00A72714"/>
    <w:rsid w:val="00A73A2C"/>
    <w:rsid w:val="00A743AC"/>
    <w:rsid w:val="00A74826"/>
    <w:rsid w:val="00A74C06"/>
    <w:rsid w:val="00A74FB2"/>
    <w:rsid w:val="00A75305"/>
    <w:rsid w:val="00A753E1"/>
    <w:rsid w:val="00A775DD"/>
    <w:rsid w:val="00A77F59"/>
    <w:rsid w:val="00A80334"/>
    <w:rsid w:val="00A81004"/>
    <w:rsid w:val="00A81D89"/>
    <w:rsid w:val="00A82346"/>
    <w:rsid w:val="00A825BF"/>
    <w:rsid w:val="00A845B8"/>
    <w:rsid w:val="00A85BB3"/>
    <w:rsid w:val="00A86601"/>
    <w:rsid w:val="00A87209"/>
    <w:rsid w:val="00A9111C"/>
    <w:rsid w:val="00A912E7"/>
    <w:rsid w:val="00A914AD"/>
    <w:rsid w:val="00A91843"/>
    <w:rsid w:val="00A925A1"/>
    <w:rsid w:val="00A94940"/>
    <w:rsid w:val="00A94D13"/>
    <w:rsid w:val="00A95145"/>
    <w:rsid w:val="00A9538B"/>
    <w:rsid w:val="00A954D8"/>
    <w:rsid w:val="00A95B6E"/>
    <w:rsid w:val="00A96186"/>
    <w:rsid w:val="00A9671C"/>
    <w:rsid w:val="00A9769E"/>
    <w:rsid w:val="00A97749"/>
    <w:rsid w:val="00A978E7"/>
    <w:rsid w:val="00AA1553"/>
    <w:rsid w:val="00AA2876"/>
    <w:rsid w:val="00AA2E71"/>
    <w:rsid w:val="00AA3330"/>
    <w:rsid w:val="00AA39FE"/>
    <w:rsid w:val="00AA423E"/>
    <w:rsid w:val="00AA4494"/>
    <w:rsid w:val="00AA52B0"/>
    <w:rsid w:val="00AA56E5"/>
    <w:rsid w:val="00AA57EE"/>
    <w:rsid w:val="00AA5900"/>
    <w:rsid w:val="00AA658A"/>
    <w:rsid w:val="00AA7EC1"/>
    <w:rsid w:val="00AB0409"/>
    <w:rsid w:val="00AB0FA6"/>
    <w:rsid w:val="00AB1408"/>
    <w:rsid w:val="00AB163A"/>
    <w:rsid w:val="00AB17A0"/>
    <w:rsid w:val="00AB183D"/>
    <w:rsid w:val="00AB1A97"/>
    <w:rsid w:val="00AB24ED"/>
    <w:rsid w:val="00AB27C6"/>
    <w:rsid w:val="00AB2E1B"/>
    <w:rsid w:val="00AB4F3D"/>
    <w:rsid w:val="00AB504B"/>
    <w:rsid w:val="00AB5A5A"/>
    <w:rsid w:val="00AB5FC5"/>
    <w:rsid w:val="00AB71C6"/>
    <w:rsid w:val="00AB7EA2"/>
    <w:rsid w:val="00AC0234"/>
    <w:rsid w:val="00AC12D4"/>
    <w:rsid w:val="00AC1314"/>
    <w:rsid w:val="00AC1E31"/>
    <w:rsid w:val="00AC26C2"/>
    <w:rsid w:val="00AC2CF8"/>
    <w:rsid w:val="00AC3E63"/>
    <w:rsid w:val="00AC4320"/>
    <w:rsid w:val="00AC53FE"/>
    <w:rsid w:val="00AC7CA7"/>
    <w:rsid w:val="00AD0BA4"/>
    <w:rsid w:val="00AD0C68"/>
    <w:rsid w:val="00AD0CE0"/>
    <w:rsid w:val="00AD0F1D"/>
    <w:rsid w:val="00AD155F"/>
    <w:rsid w:val="00AD17F7"/>
    <w:rsid w:val="00AD192C"/>
    <w:rsid w:val="00AD1EEB"/>
    <w:rsid w:val="00AD2619"/>
    <w:rsid w:val="00AD2E79"/>
    <w:rsid w:val="00AD48F9"/>
    <w:rsid w:val="00AD4D8C"/>
    <w:rsid w:val="00AD5427"/>
    <w:rsid w:val="00AD5B72"/>
    <w:rsid w:val="00AD6231"/>
    <w:rsid w:val="00AD7EB7"/>
    <w:rsid w:val="00AE06A4"/>
    <w:rsid w:val="00AE095D"/>
    <w:rsid w:val="00AE1871"/>
    <w:rsid w:val="00AE26C0"/>
    <w:rsid w:val="00AE32B8"/>
    <w:rsid w:val="00AE35AC"/>
    <w:rsid w:val="00AE3C8B"/>
    <w:rsid w:val="00AE474D"/>
    <w:rsid w:val="00AE4A32"/>
    <w:rsid w:val="00AE5998"/>
    <w:rsid w:val="00AE5A3F"/>
    <w:rsid w:val="00AE67B2"/>
    <w:rsid w:val="00AE691F"/>
    <w:rsid w:val="00AE6C5B"/>
    <w:rsid w:val="00AE6C65"/>
    <w:rsid w:val="00AE7394"/>
    <w:rsid w:val="00AE7935"/>
    <w:rsid w:val="00AF122F"/>
    <w:rsid w:val="00AF17E2"/>
    <w:rsid w:val="00AF1C7D"/>
    <w:rsid w:val="00AF20A6"/>
    <w:rsid w:val="00AF2778"/>
    <w:rsid w:val="00AF3563"/>
    <w:rsid w:val="00AF5456"/>
    <w:rsid w:val="00AF5D4A"/>
    <w:rsid w:val="00AF5E5C"/>
    <w:rsid w:val="00AF6272"/>
    <w:rsid w:val="00AF7A89"/>
    <w:rsid w:val="00B002EA"/>
    <w:rsid w:val="00B0118B"/>
    <w:rsid w:val="00B024E5"/>
    <w:rsid w:val="00B033FA"/>
    <w:rsid w:val="00B0343F"/>
    <w:rsid w:val="00B046A0"/>
    <w:rsid w:val="00B04A75"/>
    <w:rsid w:val="00B052F3"/>
    <w:rsid w:val="00B0648D"/>
    <w:rsid w:val="00B069CE"/>
    <w:rsid w:val="00B07AAA"/>
    <w:rsid w:val="00B10754"/>
    <w:rsid w:val="00B10B69"/>
    <w:rsid w:val="00B11743"/>
    <w:rsid w:val="00B1192D"/>
    <w:rsid w:val="00B1195F"/>
    <w:rsid w:val="00B11CB0"/>
    <w:rsid w:val="00B11F59"/>
    <w:rsid w:val="00B12271"/>
    <w:rsid w:val="00B13682"/>
    <w:rsid w:val="00B1514F"/>
    <w:rsid w:val="00B15449"/>
    <w:rsid w:val="00B154C9"/>
    <w:rsid w:val="00B15627"/>
    <w:rsid w:val="00B15ADA"/>
    <w:rsid w:val="00B1608D"/>
    <w:rsid w:val="00B1608F"/>
    <w:rsid w:val="00B2397F"/>
    <w:rsid w:val="00B23FAA"/>
    <w:rsid w:val="00B2755F"/>
    <w:rsid w:val="00B27C62"/>
    <w:rsid w:val="00B30ADA"/>
    <w:rsid w:val="00B331AE"/>
    <w:rsid w:val="00B33E45"/>
    <w:rsid w:val="00B3527F"/>
    <w:rsid w:val="00B359B7"/>
    <w:rsid w:val="00B36BDD"/>
    <w:rsid w:val="00B36F6F"/>
    <w:rsid w:val="00B40295"/>
    <w:rsid w:val="00B40C67"/>
    <w:rsid w:val="00B41B8B"/>
    <w:rsid w:val="00B422C3"/>
    <w:rsid w:val="00B42667"/>
    <w:rsid w:val="00B42FC8"/>
    <w:rsid w:val="00B438C4"/>
    <w:rsid w:val="00B444B8"/>
    <w:rsid w:val="00B4746E"/>
    <w:rsid w:val="00B47FD1"/>
    <w:rsid w:val="00B516BB"/>
    <w:rsid w:val="00B51B0A"/>
    <w:rsid w:val="00B5205D"/>
    <w:rsid w:val="00B52D96"/>
    <w:rsid w:val="00B53197"/>
    <w:rsid w:val="00B53C45"/>
    <w:rsid w:val="00B54665"/>
    <w:rsid w:val="00B54D5E"/>
    <w:rsid w:val="00B5641A"/>
    <w:rsid w:val="00B57999"/>
    <w:rsid w:val="00B57F5A"/>
    <w:rsid w:val="00B60DD2"/>
    <w:rsid w:val="00B61417"/>
    <w:rsid w:val="00B62989"/>
    <w:rsid w:val="00B62E9A"/>
    <w:rsid w:val="00B633C3"/>
    <w:rsid w:val="00B6406E"/>
    <w:rsid w:val="00B642B6"/>
    <w:rsid w:val="00B64B73"/>
    <w:rsid w:val="00B65E42"/>
    <w:rsid w:val="00B6646D"/>
    <w:rsid w:val="00B6737A"/>
    <w:rsid w:val="00B67EA2"/>
    <w:rsid w:val="00B700C8"/>
    <w:rsid w:val="00B701A0"/>
    <w:rsid w:val="00B710EF"/>
    <w:rsid w:val="00B72B1A"/>
    <w:rsid w:val="00B72CC9"/>
    <w:rsid w:val="00B732D6"/>
    <w:rsid w:val="00B73D0C"/>
    <w:rsid w:val="00B747AE"/>
    <w:rsid w:val="00B74842"/>
    <w:rsid w:val="00B751DC"/>
    <w:rsid w:val="00B756ED"/>
    <w:rsid w:val="00B75EF1"/>
    <w:rsid w:val="00B770FF"/>
    <w:rsid w:val="00B8019B"/>
    <w:rsid w:val="00B80E84"/>
    <w:rsid w:val="00B82DD7"/>
    <w:rsid w:val="00B83F9A"/>
    <w:rsid w:val="00B83FE4"/>
    <w:rsid w:val="00B84B18"/>
    <w:rsid w:val="00B85C46"/>
    <w:rsid w:val="00B85F74"/>
    <w:rsid w:val="00B86A6B"/>
    <w:rsid w:val="00B8722E"/>
    <w:rsid w:val="00B8739B"/>
    <w:rsid w:val="00B901CE"/>
    <w:rsid w:val="00B901F2"/>
    <w:rsid w:val="00B91065"/>
    <w:rsid w:val="00B912B1"/>
    <w:rsid w:val="00B919F2"/>
    <w:rsid w:val="00B92742"/>
    <w:rsid w:val="00B94A1D"/>
    <w:rsid w:val="00B94C9F"/>
    <w:rsid w:val="00B951D4"/>
    <w:rsid w:val="00B9638A"/>
    <w:rsid w:val="00B96CCF"/>
    <w:rsid w:val="00B97C71"/>
    <w:rsid w:val="00B97CBC"/>
    <w:rsid w:val="00BA13FD"/>
    <w:rsid w:val="00BA1953"/>
    <w:rsid w:val="00BA2ABC"/>
    <w:rsid w:val="00BA3230"/>
    <w:rsid w:val="00BA37B5"/>
    <w:rsid w:val="00BA3913"/>
    <w:rsid w:val="00BA4B67"/>
    <w:rsid w:val="00BA601F"/>
    <w:rsid w:val="00BA64A9"/>
    <w:rsid w:val="00BA6B3D"/>
    <w:rsid w:val="00BA6C11"/>
    <w:rsid w:val="00BA7FDD"/>
    <w:rsid w:val="00BB0470"/>
    <w:rsid w:val="00BB1993"/>
    <w:rsid w:val="00BB1CF4"/>
    <w:rsid w:val="00BB1D64"/>
    <w:rsid w:val="00BB2276"/>
    <w:rsid w:val="00BB3CBA"/>
    <w:rsid w:val="00BB4028"/>
    <w:rsid w:val="00BB4DAC"/>
    <w:rsid w:val="00BB53BE"/>
    <w:rsid w:val="00BB5E22"/>
    <w:rsid w:val="00BB69C4"/>
    <w:rsid w:val="00BB6B0D"/>
    <w:rsid w:val="00BB72A5"/>
    <w:rsid w:val="00BB7C4F"/>
    <w:rsid w:val="00BC02B4"/>
    <w:rsid w:val="00BC07C5"/>
    <w:rsid w:val="00BC136A"/>
    <w:rsid w:val="00BC175D"/>
    <w:rsid w:val="00BC1BBC"/>
    <w:rsid w:val="00BC1C99"/>
    <w:rsid w:val="00BC2D6C"/>
    <w:rsid w:val="00BC30E7"/>
    <w:rsid w:val="00BC3147"/>
    <w:rsid w:val="00BC3A5F"/>
    <w:rsid w:val="00BC41B5"/>
    <w:rsid w:val="00BC5A4D"/>
    <w:rsid w:val="00BC7783"/>
    <w:rsid w:val="00BD091C"/>
    <w:rsid w:val="00BD1631"/>
    <w:rsid w:val="00BD31D3"/>
    <w:rsid w:val="00BD55FC"/>
    <w:rsid w:val="00BD6273"/>
    <w:rsid w:val="00BD67B1"/>
    <w:rsid w:val="00BE17BB"/>
    <w:rsid w:val="00BE45EB"/>
    <w:rsid w:val="00BE4BDA"/>
    <w:rsid w:val="00BE5261"/>
    <w:rsid w:val="00BE56A5"/>
    <w:rsid w:val="00BE5FAE"/>
    <w:rsid w:val="00BE7500"/>
    <w:rsid w:val="00BE7B3F"/>
    <w:rsid w:val="00BF000C"/>
    <w:rsid w:val="00BF0256"/>
    <w:rsid w:val="00BF2DF0"/>
    <w:rsid w:val="00BF2E14"/>
    <w:rsid w:val="00BF2E94"/>
    <w:rsid w:val="00BF2ECB"/>
    <w:rsid w:val="00BF3470"/>
    <w:rsid w:val="00BF4416"/>
    <w:rsid w:val="00BF449E"/>
    <w:rsid w:val="00BF46D7"/>
    <w:rsid w:val="00BF46DB"/>
    <w:rsid w:val="00BF49E1"/>
    <w:rsid w:val="00BF5561"/>
    <w:rsid w:val="00BF630D"/>
    <w:rsid w:val="00BF6EB6"/>
    <w:rsid w:val="00C00C8B"/>
    <w:rsid w:val="00C01E8E"/>
    <w:rsid w:val="00C03D2D"/>
    <w:rsid w:val="00C042E6"/>
    <w:rsid w:val="00C07B22"/>
    <w:rsid w:val="00C07D96"/>
    <w:rsid w:val="00C10DF1"/>
    <w:rsid w:val="00C12B51"/>
    <w:rsid w:val="00C13154"/>
    <w:rsid w:val="00C132B1"/>
    <w:rsid w:val="00C13470"/>
    <w:rsid w:val="00C13C51"/>
    <w:rsid w:val="00C13DC1"/>
    <w:rsid w:val="00C1510F"/>
    <w:rsid w:val="00C15264"/>
    <w:rsid w:val="00C15795"/>
    <w:rsid w:val="00C16357"/>
    <w:rsid w:val="00C1641F"/>
    <w:rsid w:val="00C17978"/>
    <w:rsid w:val="00C2032B"/>
    <w:rsid w:val="00C20E9C"/>
    <w:rsid w:val="00C21995"/>
    <w:rsid w:val="00C223C0"/>
    <w:rsid w:val="00C230AE"/>
    <w:rsid w:val="00C235C7"/>
    <w:rsid w:val="00C23FA7"/>
    <w:rsid w:val="00C24650"/>
    <w:rsid w:val="00C2597A"/>
    <w:rsid w:val="00C25AAF"/>
    <w:rsid w:val="00C25C90"/>
    <w:rsid w:val="00C26782"/>
    <w:rsid w:val="00C27752"/>
    <w:rsid w:val="00C27B36"/>
    <w:rsid w:val="00C30284"/>
    <w:rsid w:val="00C31033"/>
    <w:rsid w:val="00C313DE"/>
    <w:rsid w:val="00C319E7"/>
    <w:rsid w:val="00C31C47"/>
    <w:rsid w:val="00C31F2E"/>
    <w:rsid w:val="00C32347"/>
    <w:rsid w:val="00C32FA1"/>
    <w:rsid w:val="00C33079"/>
    <w:rsid w:val="00C330DF"/>
    <w:rsid w:val="00C333E9"/>
    <w:rsid w:val="00C34F52"/>
    <w:rsid w:val="00C3525B"/>
    <w:rsid w:val="00C36BCC"/>
    <w:rsid w:val="00C37FDE"/>
    <w:rsid w:val="00C41500"/>
    <w:rsid w:val="00C4212C"/>
    <w:rsid w:val="00C42782"/>
    <w:rsid w:val="00C43728"/>
    <w:rsid w:val="00C43926"/>
    <w:rsid w:val="00C4392C"/>
    <w:rsid w:val="00C4443E"/>
    <w:rsid w:val="00C46BDB"/>
    <w:rsid w:val="00C47BAC"/>
    <w:rsid w:val="00C47D2D"/>
    <w:rsid w:val="00C47F3D"/>
    <w:rsid w:val="00C51D27"/>
    <w:rsid w:val="00C521A1"/>
    <w:rsid w:val="00C534FC"/>
    <w:rsid w:val="00C54E61"/>
    <w:rsid w:val="00C551BF"/>
    <w:rsid w:val="00C556FB"/>
    <w:rsid w:val="00C56804"/>
    <w:rsid w:val="00C612B8"/>
    <w:rsid w:val="00C613BA"/>
    <w:rsid w:val="00C614CA"/>
    <w:rsid w:val="00C614FA"/>
    <w:rsid w:val="00C62547"/>
    <w:rsid w:val="00C626C6"/>
    <w:rsid w:val="00C6309C"/>
    <w:rsid w:val="00C63220"/>
    <w:rsid w:val="00C636B9"/>
    <w:rsid w:val="00C6391F"/>
    <w:rsid w:val="00C64F82"/>
    <w:rsid w:val="00C65F6D"/>
    <w:rsid w:val="00C65FAE"/>
    <w:rsid w:val="00C66876"/>
    <w:rsid w:val="00C67098"/>
    <w:rsid w:val="00C7087A"/>
    <w:rsid w:val="00C709E8"/>
    <w:rsid w:val="00C70B2E"/>
    <w:rsid w:val="00C712F3"/>
    <w:rsid w:val="00C72837"/>
    <w:rsid w:val="00C741E5"/>
    <w:rsid w:val="00C74A7B"/>
    <w:rsid w:val="00C768BB"/>
    <w:rsid w:val="00C773BD"/>
    <w:rsid w:val="00C77701"/>
    <w:rsid w:val="00C81452"/>
    <w:rsid w:val="00C8235D"/>
    <w:rsid w:val="00C8253A"/>
    <w:rsid w:val="00C8368A"/>
    <w:rsid w:val="00C83A13"/>
    <w:rsid w:val="00C844E3"/>
    <w:rsid w:val="00C85572"/>
    <w:rsid w:val="00C903F3"/>
    <w:rsid w:val="00C9068C"/>
    <w:rsid w:val="00C90F53"/>
    <w:rsid w:val="00C91051"/>
    <w:rsid w:val="00C9285D"/>
    <w:rsid w:val="00C92967"/>
    <w:rsid w:val="00C9299B"/>
    <w:rsid w:val="00C9366A"/>
    <w:rsid w:val="00C9499A"/>
    <w:rsid w:val="00C96B15"/>
    <w:rsid w:val="00C96CAE"/>
    <w:rsid w:val="00C97780"/>
    <w:rsid w:val="00C97DD9"/>
    <w:rsid w:val="00CA08C8"/>
    <w:rsid w:val="00CA0C6F"/>
    <w:rsid w:val="00CA1196"/>
    <w:rsid w:val="00CA160C"/>
    <w:rsid w:val="00CA2A63"/>
    <w:rsid w:val="00CA3D0C"/>
    <w:rsid w:val="00CA4CC4"/>
    <w:rsid w:val="00CA4F75"/>
    <w:rsid w:val="00CA55A2"/>
    <w:rsid w:val="00CA6073"/>
    <w:rsid w:val="00CA654B"/>
    <w:rsid w:val="00CA7FB5"/>
    <w:rsid w:val="00CB1831"/>
    <w:rsid w:val="00CB192D"/>
    <w:rsid w:val="00CB20EE"/>
    <w:rsid w:val="00CB2BE5"/>
    <w:rsid w:val="00CB474B"/>
    <w:rsid w:val="00CB7E32"/>
    <w:rsid w:val="00CC05BA"/>
    <w:rsid w:val="00CC1F68"/>
    <w:rsid w:val="00CC365E"/>
    <w:rsid w:val="00CC59C6"/>
    <w:rsid w:val="00CC67AE"/>
    <w:rsid w:val="00CC69A7"/>
    <w:rsid w:val="00CD0243"/>
    <w:rsid w:val="00CD1CFE"/>
    <w:rsid w:val="00CD3E58"/>
    <w:rsid w:val="00CD4A61"/>
    <w:rsid w:val="00CD4C7B"/>
    <w:rsid w:val="00CD5436"/>
    <w:rsid w:val="00CD6435"/>
    <w:rsid w:val="00CE0288"/>
    <w:rsid w:val="00CE054B"/>
    <w:rsid w:val="00CE1095"/>
    <w:rsid w:val="00CE3213"/>
    <w:rsid w:val="00CE3BD1"/>
    <w:rsid w:val="00CE3D00"/>
    <w:rsid w:val="00CE3E5A"/>
    <w:rsid w:val="00CE476C"/>
    <w:rsid w:val="00CE6BF3"/>
    <w:rsid w:val="00CE7822"/>
    <w:rsid w:val="00CE7CBD"/>
    <w:rsid w:val="00CF07F5"/>
    <w:rsid w:val="00CF2C4F"/>
    <w:rsid w:val="00CF2C9F"/>
    <w:rsid w:val="00CF5B76"/>
    <w:rsid w:val="00CF77AE"/>
    <w:rsid w:val="00D00174"/>
    <w:rsid w:val="00D00217"/>
    <w:rsid w:val="00D00C0E"/>
    <w:rsid w:val="00D00E4C"/>
    <w:rsid w:val="00D01329"/>
    <w:rsid w:val="00D015EF"/>
    <w:rsid w:val="00D017C9"/>
    <w:rsid w:val="00D01E59"/>
    <w:rsid w:val="00D0310E"/>
    <w:rsid w:val="00D03911"/>
    <w:rsid w:val="00D04103"/>
    <w:rsid w:val="00D048E7"/>
    <w:rsid w:val="00D05C9E"/>
    <w:rsid w:val="00D06427"/>
    <w:rsid w:val="00D10581"/>
    <w:rsid w:val="00D12C8F"/>
    <w:rsid w:val="00D133BA"/>
    <w:rsid w:val="00D14063"/>
    <w:rsid w:val="00D16129"/>
    <w:rsid w:val="00D16E75"/>
    <w:rsid w:val="00D177F8"/>
    <w:rsid w:val="00D20104"/>
    <w:rsid w:val="00D20B74"/>
    <w:rsid w:val="00D20E7D"/>
    <w:rsid w:val="00D212B7"/>
    <w:rsid w:val="00D23786"/>
    <w:rsid w:val="00D25F15"/>
    <w:rsid w:val="00D26AA2"/>
    <w:rsid w:val="00D27E3D"/>
    <w:rsid w:val="00D30C7D"/>
    <w:rsid w:val="00D3258F"/>
    <w:rsid w:val="00D33118"/>
    <w:rsid w:val="00D33A18"/>
    <w:rsid w:val="00D34997"/>
    <w:rsid w:val="00D34B1E"/>
    <w:rsid w:val="00D36B2F"/>
    <w:rsid w:val="00D402F5"/>
    <w:rsid w:val="00D41585"/>
    <w:rsid w:val="00D42844"/>
    <w:rsid w:val="00D43109"/>
    <w:rsid w:val="00D44328"/>
    <w:rsid w:val="00D450E9"/>
    <w:rsid w:val="00D45EC0"/>
    <w:rsid w:val="00D46200"/>
    <w:rsid w:val="00D50476"/>
    <w:rsid w:val="00D50A56"/>
    <w:rsid w:val="00D50FAB"/>
    <w:rsid w:val="00D536D1"/>
    <w:rsid w:val="00D53F4D"/>
    <w:rsid w:val="00D548D7"/>
    <w:rsid w:val="00D54EF9"/>
    <w:rsid w:val="00D55496"/>
    <w:rsid w:val="00D5555E"/>
    <w:rsid w:val="00D5621D"/>
    <w:rsid w:val="00D57716"/>
    <w:rsid w:val="00D57B51"/>
    <w:rsid w:val="00D604C0"/>
    <w:rsid w:val="00D6117F"/>
    <w:rsid w:val="00D61338"/>
    <w:rsid w:val="00D62E82"/>
    <w:rsid w:val="00D62F93"/>
    <w:rsid w:val="00D63BB4"/>
    <w:rsid w:val="00D641AE"/>
    <w:rsid w:val="00D646DB"/>
    <w:rsid w:val="00D64B2D"/>
    <w:rsid w:val="00D669E9"/>
    <w:rsid w:val="00D66F34"/>
    <w:rsid w:val="00D679C7"/>
    <w:rsid w:val="00D7053B"/>
    <w:rsid w:val="00D738D6"/>
    <w:rsid w:val="00D73E24"/>
    <w:rsid w:val="00D73F4E"/>
    <w:rsid w:val="00D742F4"/>
    <w:rsid w:val="00D75638"/>
    <w:rsid w:val="00D75BB4"/>
    <w:rsid w:val="00D7786F"/>
    <w:rsid w:val="00D805A4"/>
    <w:rsid w:val="00D80795"/>
    <w:rsid w:val="00D80A1F"/>
    <w:rsid w:val="00D80F5E"/>
    <w:rsid w:val="00D82DC3"/>
    <w:rsid w:val="00D83E5E"/>
    <w:rsid w:val="00D84F19"/>
    <w:rsid w:val="00D8694E"/>
    <w:rsid w:val="00D870B2"/>
    <w:rsid w:val="00D87A08"/>
    <w:rsid w:val="00D87E00"/>
    <w:rsid w:val="00D90718"/>
    <w:rsid w:val="00D9134D"/>
    <w:rsid w:val="00D915DA"/>
    <w:rsid w:val="00D91BCA"/>
    <w:rsid w:val="00D92B08"/>
    <w:rsid w:val="00D94A97"/>
    <w:rsid w:val="00D95A58"/>
    <w:rsid w:val="00D95AF8"/>
    <w:rsid w:val="00D95F4A"/>
    <w:rsid w:val="00D96D11"/>
    <w:rsid w:val="00D97D72"/>
    <w:rsid w:val="00DA046B"/>
    <w:rsid w:val="00DA0867"/>
    <w:rsid w:val="00DA1584"/>
    <w:rsid w:val="00DA192E"/>
    <w:rsid w:val="00DA1E58"/>
    <w:rsid w:val="00DA2930"/>
    <w:rsid w:val="00DA343D"/>
    <w:rsid w:val="00DA4533"/>
    <w:rsid w:val="00DA5135"/>
    <w:rsid w:val="00DA5616"/>
    <w:rsid w:val="00DA5CBB"/>
    <w:rsid w:val="00DA5CFC"/>
    <w:rsid w:val="00DA5F98"/>
    <w:rsid w:val="00DA6227"/>
    <w:rsid w:val="00DA7A03"/>
    <w:rsid w:val="00DB033E"/>
    <w:rsid w:val="00DB119A"/>
    <w:rsid w:val="00DB1818"/>
    <w:rsid w:val="00DB2510"/>
    <w:rsid w:val="00DB276F"/>
    <w:rsid w:val="00DB2B5D"/>
    <w:rsid w:val="00DB4248"/>
    <w:rsid w:val="00DB4BA8"/>
    <w:rsid w:val="00DB5624"/>
    <w:rsid w:val="00DB6424"/>
    <w:rsid w:val="00DB6E8D"/>
    <w:rsid w:val="00DB72F8"/>
    <w:rsid w:val="00DB732F"/>
    <w:rsid w:val="00DC17FD"/>
    <w:rsid w:val="00DC1FD9"/>
    <w:rsid w:val="00DC262B"/>
    <w:rsid w:val="00DC2D95"/>
    <w:rsid w:val="00DC309B"/>
    <w:rsid w:val="00DC3B63"/>
    <w:rsid w:val="00DC3FEB"/>
    <w:rsid w:val="00DC41E9"/>
    <w:rsid w:val="00DC4DA2"/>
    <w:rsid w:val="00DC50B4"/>
    <w:rsid w:val="00DC5F5E"/>
    <w:rsid w:val="00DC5F65"/>
    <w:rsid w:val="00DC7854"/>
    <w:rsid w:val="00DC78A1"/>
    <w:rsid w:val="00DD06F0"/>
    <w:rsid w:val="00DD102D"/>
    <w:rsid w:val="00DD43BA"/>
    <w:rsid w:val="00DD50E2"/>
    <w:rsid w:val="00DD5312"/>
    <w:rsid w:val="00DD70FA"/>
    <w:rsid w:val="00DD722F"/>
    <w:rsid w:val="00DE0D91"/>
    <w:rsid w:val="00DE16E8"/>
    <w:rsid w:val="00DE17D1"/>
    <w:rsid w:val="00DE44B0"/>
    <w:rsid w:val="00DE4743"/>
    <w:rsid w:val="00DE4A98"/>
    <w:rsid w:val="00DE56A5"/>
    <w:rsid w:val="00DE572F"/>
    <w:rsid w:val="00DE67F4"/>
    <w:rsid w:val="00DE7DCD"/>
    <w:rsid w:val="00DF08B7"/>
    <w:rsid w:val="00DF2B7B"/>
    <w:rsid w:val="00DF5B0C"/>
    <w:rsid w:val="00DF761B"/>
    <w:rsid w:val="00DF796C"/>
    <w:rsid w:val="00E0098E"/>
    <w:rsid w:val="00E02F6A"/>
    <w:rsid w:val="00E03198"/>
    <w:rsid w:val="00E03A46"/>
    <w:rsid w:val="00E03F18"/>
    <w:rsid w:val="00E0415B"/>
    <w:rsid w:val="00E06135"/>
    <w:rsid w:val="00E062E3"/>
    <w:rsid w:val="00E074C7"/>
    <w:rsid w:val="00E1061A"/>
    <w:rsid w:val="00E10D62"/>
    <w:rsid w:val="00E113C0"/>
    <w:rsid w:val="00E23537"/>
    <w:rsid w:val="00E23973"/>
    <w:rsid w:val="00E23EAD"/>
    <w:rsid w:val="00E250F4"/>
    <w:rsid w:val="00E25BEF"/>
    <w:rsid w:val="00E25C19"/>
    <w:rsid w:val="00E30372"/>
    <w:rsid w:val="00E30618"/>
    <w:rsid w:val="00E307FC"/>
    <w:rsid w:val="00E313B9"/>
    <w:rsid w:val="00E31932"/>
    <w:rsid w:val="00E31E89"/>
    <w:rsid w:val="00E33147"/>
    <w:rsid w:val="00E34168"/>
    <w:rsid w:val="00E348F9"/>
    <w:rsid w:val="00E35793"/>
    <w:rsid w:val="00E36407"/>
    <w:rsid w:val="00E37F3D"/>
    <w:rsid w:val="00E4026E"/>
    <w:rsid w:val="00E40E41"/>
    <w:rsid w:val="00E42D93"/>
    <w:rsid w:val="00E43DB9"/>
    <w:rsid w:val="00E448A1"/>
    <w:rsid w:val="00E451D4"/>
    <w:rsid w:val="00E45DC2"/>
    <w:rsid w:val="00E45E6B"/>
    <w:rsid w:val="00E4673B"/>
    <w:rsid w:val="00E50281"/>
    <w:rsid w:val="00E50F6F"/>
    <w:rsid w:val="00E51DC4"/>
    <w:rsid w:val="00E52804"/>
    <w:rsid w:val="00E539D7"/>
    <w:rsid w:val="00E539FD"/>
    <w:rsid w:val="00E54361"/>
    <w:rsid w:val="00E546AB"/>
    <w:rsid w:val="00E54929"/>
    <w:rsid w:val="00E558EA"/>
    <w:rsid w:val="00E55DCB"/>
    <w:rsid w:val="00E56EEF"/>
    <w:rsid w:val="00E5765F"/>
    <w:rsid w:val="00E60CAF"/>
    <w:rsid w:val="00E60E17"/>
    <w:rsid w:val="00E61B39"/>
    <w:rsid w:val="00E62835"/>
    <w:rsid w:val="00E64044"/>
    <w:rsid w:val="00E64523"/>
    <w:rsid w:val="00E6528D"/>
    <w:rsid w:val="00E65882"/>
    <w:rsid w:val="00E6683D"/>
    <w:rsid w:val="00E67BE9"/>
    <w:rsid w:val="00E7041F"/>
    <w:rsid w:val="00E70A06"/>
    <w:rsid w:val="00E730C7"/>
    <w:rsid w:val="00E73610"/>
    <w:rsid w:val="00E73923"/>
    <w:rsid w:val="00E751E7"/>
    <w:rsid w:val="00E76317"/>
    <w:rsid w:val="00E76946"/>
    <w:rsid w:val="00E769AC"/>
    <w:rsid w:val="00E77645"/>
    <w:rsid w:val="00E77AE3"/>
    <w:rsid w:val="00E77BAF"/>
    <w:rsid w:val="00E77E21"/>
    <w:rsid w:val="00E808D1"/>
    <w:rsid w:val="00E810BF"/>
    <w:rsid w:val="00E8195C"/>
    <w:rsid w:val="00E82447"/>
    <w:rsid w:val="00E83697"/>
    <w:rsid w:val="00E83810"/>
    <w:rsid w:val="00E83E4C"/>
    <w:rsid w:val="00E84073"/>
    <w:rsid w:val="00E84230"/>
    <w:rsid w:val="00E84686"/>
    <w:rsid w:val="00E8546B"/>
    <w:rsid w:val="00E854D4"/>
    <w:rsid w:val="00E855F7"/>
    <w:rsid w:val="00E858CD"/>
    <w:rsid w:val="00E870A0"/>
    <w:rsid w:val="00E87213"/>
    <w:rsid w:val="00E91487"/>
    <w:rsid w:val="00E91DDC"/>
    <w:rsid w:val="00E925C9"/>
    <w:rsid w:val="00E92B2F"/>
    <w:rsid w:val="00E9444B"/>
    <w:rsid w:val="00E94C2C"/>
    <w:rsid w:val="00E94C85"/>
    <w:rsid w:val="00E96FF8"/>
    <w:rsid w:val="00E970D7"/>
    <w:rsid w:val="00EA00A8"/>
    <w:rsid w:val="00EA0892"/>
    <w:rsid w:val="00EA0AAF"/>
    <w:rsid w:val="00EA1DC3"/>
    <w:rsid w:val="00EA1ED6"/>
    <w:rsid w:val="00EA387F"/>
    <w:rsid w:val="00EA6CB4"/>
    <w:rsid w:val="00EB20C0"/>
    <w:rsid w:val="00EB2AF5"/>
    <w:rsid w:val="00EB3D75"/>
    <w:rsid w:val="00EB4566"/>
    <w:rsid w:val="00EB493B"/>
    <w:rsid w:val="00EB4E5D"/>
    <w:rsid w:val="00EB564C"/>
    <w:rsid w:val="00EB7699"/>
    <w:rsid w:val="00EC0A52"/>
    <w:rsid w:val="00EC2608"/>
    <w:rsid w:val="00EC266C"/>
    <w:rsid w:val="00EC39EB"/>
    <w:rsid w:val="00EC464F"/>
    <w:rsid w:val="00EC4A25"/>
    <w:rsid w:val="00EC5873"/>
    <w:rsid w:val="00EC599A"/>
    <w:rsid w:val="00EC5DC4"/>
    <w:rsid w:val="00EC6834"/>
    <w:rsid w:val="00EC6A06"/>
    <w:rsid w:val="00EC6D05"/>
    <w:rsid w:val="00EC717A"/>
    <w:rsid w:val="00ED07E4"/>
    <w:rsid w:val="00ED09BF"/>
    <w:rsid w:val="00ED1D93"/>
    <w:rsid w:val="00ED20B1"/>
    <w:rsid w:val="00ED43A5"/>
    <w:rsid w:val="00ED566E"/>
    <w:rsid w:val="00ED67FF"/>
    <w:rsid w:val="00EE1512"/>
    <w:rsid w:val="00EE217F"/>
    <w:rsid w:val="00EE4120"/>
    <w:rsid w:val="00EE426A"/>
    <w:rsid w:val="00EE44AD"/>
    <w:rsid w:val="00EE78CE"/>
    <w:rsid w:val="00EE7D61"/>
    <w:rsid w:val="00EF1E0A"/>
    <w:rsid w:val="00EF267F"/>
    <w:rsid w:val="00EF2758"/>
    <w:rsid w:val="00EF2F1F"/>
    <w:rsid w:val="00EF4E32"/>
    <w:rsid w:val="00EF5090"/>
    <w:rsid w:val="00EF7671"/>
    <w:rsid w:val="00F00C1E"/>
    <w:rsid w:val="00F01F47"/>
    <w:rsid w:val="00F025A2"/>
    <w:rsid w:val="00F02C12"/>
    <w:rsid w:val="00F04C08"/>
    <w:rsid w:val="00F04C45"/>
    <w:rsid w:val="00F04F0E"/>
    <w:rsid w:val="00F059C4"/>
    <w:rsid w:val="00F05D71"/>
    <w:rsid w:val="00F06F0B"/>
    <w:rsid w:val="00F07388"/>
    <w:rsid w:val="00F07834"/>
    <w:rsid w:val="00F07FD6"/>
    <w:rsid w:val="00F1009E"/>
    <w:rsid w:val="00F1031F"/>
    <w:rsid w:val="00F11D6B"/>
    <w:rsid w:val="00F11DF0"/>
    <w:rsid w:val="00F12B8B"/>
    <w:rsid w:val="00F12D4C"/>
    <w:rsid w:val="00F13E8C"/>
    <w:rsid w:val="00F152C7"/>
    <w:rsid w:val="00F17066"/>
    <w:rsid w:val="00F2026E"/>
    <w:rsid w:val="00F20620"/>
    <w:rsid w:val="00F20B49"/>
    <w:rsid w:val="00F20C7B"/>
    <w:rsid w:val="00F22078"/>
    <w:rsid w:val="00F2210A"/>
    <w:rsid w:val="00F22286"/>
    <w:rsid w:val="00F22362"/>
    <w:rsid w:val="00F2288F"/>
    <w:rsid w:val="00F24379"/>
    <w:rsid w:val="00F24EC7"/>
    <w:rsid w:val="00F2595D"/>
    <w:rsid w:val="00F2754C"/>
    <w:rsid w:val="00F31951"/>
    <w:rsid w:val="00F31CC8"/>
    <w:rsid w:val="00F32173"/>
    <w:rsid w:val="00F3250E"/>
    <w:rsid w:val="00F326D6"/>
    <w:rsid w:val="00F32EE5"/>
    <w:rsid w:val="00F33FC9"/>
    <w:rsid w:val="00F37743"/>
    <w:rsid w:val="00F40310"/>
    <w:rsid w:val="00F42B86"/>
    <w:rsid w:val="00F430F6"/>
    <w:rsid w:val="00F43EAA"/>
    <w:rsid w:val="00F44FCE"/>
    <w:rsid w:val="00F46576"/>
    <w:rsid w:val="00F47078"/>
    <w:rsid w:val="00F4731F"/>
    <w:rsid w:val="00F514B8"/>
    <w:rsid w:val="00F51A7D"/>
    <w:rsid w:val="00F52DBE"/>
    <w:rsid w:val="00F53309"/>
    <w:rsid w:val="00F537D6"/>
    <w:rsid w:val="00F53A19"/>
    <w:rsid w:val="00F53AAD"/>
    <w:rsid w:val="00F53C8B"/>
    <w:rsid w:val="00F5490A"/>
    <w:rsid w:val="00F54A3D"/>
    <w:rsid w:val="00F54F7D"/>
    <w:rsid w:val="00F55A2B"/>
    <w:rsid w:val="00F57256"/>
    <w:rsid w:val="00F57BF9"/>
    <w:rsid w:val="00F57DB1"/>
    <w:rsid w:val="00F62456"/>
    <w:rsid w:val="00F62D28"/>
    <w:rsid w:val="00F653B8"/>
    <w:rsid w:val="00F66E5B"/>
    <w:rsid w:val="00F67AF6"/>
    <w:rsid w:val="00F67FC0"/>
    <w:rsid w:val="00F705E6"/>
    <w:rsid w:val="00F7150E"/>
    <w:rsid w:val="00F71B89"/>
    <w:rsid w:val="00F7353C"/>
    <w:rsid w:val="00F73779"/>
    <w:rsid w:val="00F74FB5"/>
    <w:rsid w:val="00F753D8"/>
    <w:rsid w:val="00F75B5F"/>
    <w:rsid w:val="00F76050"/>
    <w:rsid w:val="00F76F8F"/>
    <w:rsid w:val="00F777E4"/>
    <w:rsid w:val="00F80C4B"/>
    <w:rsid w:val="00F80F72"/>
    <w:rsid w:val="00F81496"/>
    <w:rsid w:val="00F8151C"/>
    <w:rsid w:val="00F83135"/>
    <w:rsid w:val="00F84092"/>
    <w:rsid w:val="00F8488E"/>
    <w:rsid w:val="00F84AD1"/>
    <w:rsid w:val="00F8529B"/>
    <w:rsid w:val="00F8570F"/>
    <w:rsid w:val="00F8639A"/>
    <w:rsid w:val="00F86589"/>
    <w:rsid w:val="00F8741F"/>
    <w:rsid w:val="00F9019F"/>
    <w:rsid w:val="00F90371"/>
    <w:rsid w:val="00F9402E"/>
    <w:rsid w:val="00F941A4"/>
    <w:rsid w:val="00F9501D"/>
    <w:rsid w:val="00F95700"/>
    <w:rsid w:val="00F96CF4"/>
    <w:rsid w:val="00F971CB"/>
    <w:rsid w:val="00F97D6E"/>
    <w:rsid w:val="00FA022E"/>
    <w:rsid w:val="00FA0274"/>
    <w:rsid w:val="00FA0A42"/>
    <w:rsid w:val="00FA0D44"/>
    <w:rsid w:val="00FA1266"/>
    <w:rsid w:val="00FA1336"/>
    <w:rsid w:val="00FA1C5C"/>
    <w:rsid w:val="00FA1DC7"/>
    <w:rsid w:val="00FA22EE"/>
    <w:rsid w:val="00FA26C7"/>
    <w:rsid w:val="00FA2EA8"/>
    <w:rsid w:val="00FA35E1"/>
    <w:rsid w:val="00FA36B8"/>
    <w:rsid w:val="00FA4BA7"/>
    <w:rsid w:val="00FA593C"/>
    <w:rsid w:val="00FA5B5E"/>
    <w:rsid w:val="00FA6453"/>
    <w:rsid w:val="00FA6B50"/>
    <w:rsid w:val="00FA7156"/>
    <w:rsid w:val="00FA7479"/>
    <w:rsid w:val="00FA760F"/>
    <w:rsid w:val="00FA7840"/>
    <w:rsid w:val="00FA7A0F"/>
    <w:rsid w:val="00FB0844"/>
    <w:rsid w:val="00FB11CA"/>
    <w:rsid w:val="00FB16A0"/>
    <w:rsid w:val="00FB1950"/>
    <w:rsid w:val="00FB1ACE"/>
    <w:rsid w:val="00FB1FDF"/>
    <w:rsid w:val="00FB3AE7"/>
    <w:rsid w:val="00FB3FAE"/>
    <w:rsid w:val="00FB4507"/>
    <w:rsid w:val="00FB46CA"/>
    <w:rsid w:val="00FB5C29"/>
    <w:rsid w:val="00FB5DC7"/>
    <w:rsid w:val="00FB69F2"/>
    <w:rsid w:val="00FB76A8"/>
    <w:rsid w:val="00FC0B77"/>
    <w:rsid w:val="00FC114A"/>
    <w:rsid w:val="00FC1192"/>
    <w:rsid w:val="00FC18C5"/>
    <w:rsid w:val="00FC2D74"/>
    <w:rsid w:val="00FC40D3"/>
    <w:rsid w:val="00FC5133"/>
    <w:rsid w:val="00FC63B6"/>
    <w:rsid w:val="00FC71B3"/>
    <w:rsid w:val="00FC77D8"/>
    <w:rsid w:val="00FD03E5"/>
    <w:rsid w:val="00FD081F"/>
    <w:rsid w:val="00FD0D12"/>
    <w:rsid w:val="00FD1B9D"/>
    <w:rsid w:val="00FD1FA7"/>
    <w:rsid w:val="00FD2CBF"/>
    <w:rsid w:val="00FD3E22"/>
    <w:rsid w:val="00FD4EDD"/>
    <w:rsid w:val="00FD55F1"/>
    <w:rsid w:val="00FD7FDF"/>
    <w:rsid w:val="00FE0CE7"/>
    <w:rsid w:val="00FE0DB2"/>
    <w:rsid w:val="00FE1F4E"/>
    <w:rsid w:val="00FE55FB"/>
    <w:rsid w:val="00FE5909"/>
    <w:rsid w:val="00FE647C"/>
    <w:rsid w:val="00FE6DC8"/>
    <w:rsid w:val="00FE7F9A"/>
    <w:rsid w:val="00FF0142"/>
    <w:rsid w:val="00FF05DE"/>
    <w:rsid w:val="00FF0BC3"/>
    <w:rsid w:val="00FF122E"/>
    <w:rsid w:val="00FF1498"/>
    <w:rsid w:val="00FF3826"/>
    <w:rsid w:val="00FF3C83"/>
    <w:rsid w:val="00FF466F"/>
    <w:rsid w:val="00FF4802"/>
    <w:rsid w:val="00FF4FF4"/>
    <w:rsid w:val="00FF5002"/>
    <w:rsid w:val="00FF587D"/>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uiPriority w:val="99"/>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customStyle="1" w:styleId="Comments">
    <w:name w:val="Comments"/>
    <w:basedOn w:val="Normal"/>
    <w:link w:val="CommentsChar"/>
    <w:qFormat/>
    <w:rsid w:val="00850CB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850CBF"/>
    <w:rPr>
      <w:rFonts w:ascii="Arial" w:eastAsia="MS Mincho" w:hAnsi="Arial"/>
      <w:i/>
      <w:noProof/>
      <w:sz w:val="18"/>
      <w:szCs w:val="24"/>
      <w:lang w:val="en-GB" w:eastAsia="en-GB"/>
    </w:rPr>
  </w:style>
  <w:style w:type="paragraph" w:customStyle="1" w:styleId="BoldComments">
    <w:name w:val="Bold Comments"/>
    <w:basedOn w:val="Normal"/>
    <w:link w:val="BoldCommentsChar"/>
    <w:qFormat/>
    <w:rsid w:val="00BF49E1"/>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qFormat/>
    <w:rsid w:val="00BF49E1"/>
    <w:rPr>
      <w:rFonts w:ascii="Arial" w:eastAsia="MS Mincho" w:hAnsi="Arial"/>
      <w:b/>
      <w:szCs w:val="24"/>
      <w:lang w:val="x-none" w:eastAsia="x-none"/>
    </w:rPr>
  </w:style>
  <w:style w:type="paragraph" w:customStyle="1" w:styleId="Doc-comment">
    <w:name w:val="Doc-comment"/>
    <w:basedOn w:val="Normal"/>
    <w:next w:val="Doc-text2"/>
    <w:qFormat/>
    <w:rsid w:val="00C96CAE"/>
    <w:pPr>
      <w:tabs>
        <w:tab w:val="left" w:pos="1622"/>
      </w:tabs>
      <w:spacing w:after="0"/>
      <w:ind w:left="1622" w:hanging="363"/>
    </w:pPr>
    <w:rPr>
      <w:rFonts w:ascii="Arial" w:eastAsia="MS Mincho" w:hAnsi="Arial"/>
      <w:i/>
      <w:szCs w:val="24"/>
      <w:lang w:eastAsia="en-GB"/>
    </w:rPr>
  </w:style>
  <w:style w:type="paragraph" w:styleId="NormalWeb">
    <w:name w:val="Normal (Web)"/>
    <w:basedOn w:val="Normal"/>
    <w:uiPriority w:val="99"/>
    <w:unhideWhenUsed/>
    <w:rsid w:val="00486FEA"/>
    <w:pPr>
      <w:spacing w:before="100" w:beforeAutospacing="1" w:after="100" w:afterAutospacing="1"/>
    </w:pPr>
    <w:rPr>
      <w:rFonts w:eastAsia="Times New Roman"/>
      <w:sz w:val="24"/>
      <w:szCs w:val="24"/>
      <w:lang w:val="en-US"/>
    </w:rPr>
  </w:style>
  <w:style w:type="paragraph" w:styleId="Caption">
    <w:name w:val="caption"/>
    <w:basedOn w:val="Normal"/>
    <w:next w:val="Normal"/>
    <w:unhideWhenUsed/>
    <w:qFormat/>
    <w:rsid w:val="00433AE9"/>
    <w:pPr>
      <w:spacing w:after="200"/>
    </w:pPr>
    <w:rPr>
      <w:i/>
      <w:iCs/>
      <w:color w:val="44546A" w:themeColor="text2"/>
      <w:sz w:val="18"/>
      <w:szCs w:val="18"/>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434D94"/>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434D94"/>
    <w:rPr>
      <w:rFonts w:ascii="Arial" w:hAnsi="Arial"/>
      <w:lang w:val="en-GB" w:eastAsia="zh-CN"/>
    </w:rPr>
  </w:style>
  <w:style w:type="character" w:customStyle="1" w:styleId="Heading7Char">
    <w:name w:val="Heading 7 Char"/>
    <w:link w:val="Heading7"/>
    <w:rsid w:val="005910E6"/>
    <w:rPr>
      <w:rFonts w:ascii="Arial" w:hAnsi="Arial"/>
      <w:lang w:val="en-GB"/>
    </w:rPr>
  </w:style>
  <w:style w:type="paragraph" w:customStyle="1" w:styleId="paragraph">
    <w:name w:val="paragraph"/>
    <w:basedOn w:val="Normal"/>
    <w:rsid w:val="0047662E"/>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47662E"/>
  </w:style>
  <w:style w:type="character" w:customStyle="1" w:styleId="eop">
    <w:name w:val="eop"/>
    <w:basedOn w:val="DefaultParagraphFont"/>
    <w:rsid w:val="0047662E"/>
  </w:style>
  <w:style w:type="character" w:customStyle="1" w:styleId="spellingerror">
    <w:name w:val="spellingerror"/>
    <w:basedOn w:val="DefaultParagraphFont"/>
    <w:rsid w:val="00823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239311">
      <w:bodyDiv w:val="1"/>
      <w:marLeft w:val="0"/>
      <w:marRight w:val="0"/>
      <w:marTop w:val="0"/>
      <w:marBottom w:val="0"/>
      <w:divBdr>
        <w:top w:val="none" w:sz="0" w:space="0" w:color="auto"/>
        <w:left w:val="none" w:sz="0" w:space="0" w:color="auto"/>
        <w:bottom w:val="none" w:sz="0" w:space="0" w:color="auto"/>
        <w:right w:val="none" w:sz="0" w:space="0" w:color="auto"/>
      </w:divBdr>
    </w:div>
    <w:div w:id="106050769">
      <w:bodyDiv w:val="1"/>
      <w:marLeft w:val="0"/>
      <w:marRight w:val="0"/>
      <w:marTop w:val="0"/>
      <w:marBottom w:val="0"/>
      <w:divBdr>
        <w:top w:val="none" w:sz="0" w:space="0" w:color="auto"/>
        <w:left w:val="none" w:sz="0" w:space="0" w:color="auto"/>
        <w:bottom w:val="none" w:sz="0" w:space="0" w:color="auto"/>
        <w:right w:val="none" w:sz="0" w:space="0" w:color="auto"/>
      </w:divBdr>
      <w:divsChild>
        <w:div w:id="570887929">
          <w:marLeft w:val="0"/>
          <w:marRight w:val="0"/>
          <w:marTop w:val="0"/>
          <w:marBottom w:val="0"/>
          <w:divBdr>
            <w:top w:val="none" w:sz="0" w:space="0" w:color="auto"/>
            <w:left w:val="none" w:sz="0" w:space="0" w:color="auto"/>
            <w:bottom w:val="none" w:sz="0" w:space="0" w:color="auto"/>
            <w:right w:val="none" w:sz="0" w:space="0" w:color="auto"/>
          </w:divBdr>
        </w:div>
        <w:div w:id="1770617091">
          <w:marLeft w:val="0"/>
          <w:marRight w:val="0"/>
          <w:marTop w:val="0"/>
          <w:marBottom w:val="0"/>
          <w:divBdr>
            <w:top w:val="none" w:sz="0" w:space="0" w:color="auto"/>
            <w:left w:val="none" w:sz="0" w:space="0" w:color="auto"/>
            <w:bottom w:val="none" w:sz="0" w:space="0" w:color="auto"/>
            <w:right w:val="none" w:sz="0" w:space="0" w:color="auto"/>
          </w:divBdr>
        </w:div>
      </w:divsChild>
    </w:div>
    <w:div w:id="140002446">
      <w:bodyDiv w:val="1"/>
      <w:marLeft w:val="0"/>
      <w:marRight w:val="0"/>
      <w:marTop w:val="0"/>
      <w:marBottom w:val="0"/>
      <w:divBdr>
        <w:top w:val="none" w:sz="0" w:space="0" w:color="auto"/>
        <w:left w:val="none" w:sz="0" w:space="0" w:color="auto"/>
        <w:bottom w:val="none" w:sz="0" w:space="0" w:color="auto"/>
        <w:right w:val="none" w:sz="0" w:space="0" w:color="auto"/>
      </w:divBdr>
      <w:divsChild>
        <w:div w:id="1330671145">
          <w:marLeft w:val="0"/>
          <w:marRight w:val="0"/>
          <w:marTop w:val="0"/>
          <w:marBottom w:val="0"/>
          <w:divBdr>
            <w:top w:val="none" w:sz="0" w:space="0" w:color="auto"/>
            <w:left w:val="none" w:sz="0" w:space="0" w:color="auto"/>
            <w:bottom w:val="none" w:sz="0" w:space="0" w:color="auto"/>
            <w:right w:val="none" w:sz="0" w:space="0" w:color="auto"/>
          </w:divBdr>
        </w:div>
        <w:div w:id="931402797">
          <w:marLeft w:val="0"/>
          <w:marRight w:val="0"/>
          <w:marTop w:val="0"/>
          <w:marBottom w:val="0"/>
          <w:divBdr>
            <w:top w:val="none" w:sz="0" w:space="0" w:color="auto"/>
            <w:left w:val="none" w:sz="0" w:space="0" w:color="auto"/>
            <w:bottom w:val="none" w:sz="0" w:space="0" w:color="auto"/>
            <w:right w:val="none" w:sz="0" w:space="0" w:color="auto"/>
          </w:divBdr>
        </w:div>
      </w:divsChild>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566918146">
      <w:bodyDiv w:val="1"/>
      <w:marLeft w:val="0"/>
      <w:marRight w:val="0"/>
      <w:marTop w:val="0"/>
      <w:marBottom w:val="0"/>
      <w:divBdr>
        <w:top w:val="none" w:sz="0" w:space="0" w:color="auto"/>
        <w:left w:val="none" w:sz="0" w:space="0" w:color="auto"/>
        <w:bottom w:val="none" w:sz="0" w:space="0" w:color="auto"/>
        <w:right w:val="none" w:sz="0" w:space="0" w:color="auto"/>
      </w:divBdr>
      <w:divsChild>
        <w:div w:id="941645424">
          <w:marLeft w:val="1166"/>
          <w:marRight w:val="0"/>
          <w:marTop w:val="86"/>
          <w:marBottom w:val="0"/>
          <w:divBdr>
            <w:top w:val="none" w:sz="0" w:space="0" w:color="auto"/>
            <w:left w:val="none" w:sz="0" w:space="0" w:color="auto"/>
            <w:bottom w:val="none" w:sz="0" w:space="0" w:color="auto"/>
            <w:right w:val="none" w:sz="0" w:space="0" w:color="auto"/>
          </w:divBdr>
        </w:div>
        <w:div w:id="1352606004">
          <w:marLeft w:val="1166"/>
          <w:marRight w:val="0"/>
          <w:marTop w:val="86"/>
          <w:marBottom w:val="0"/>
          <w:divBdr>
            <w:top w:val="none" w:sz="0" w:space="0" w:color="auto"/>
            <w:left w:val="none" w:sz="0" w:space="0" w:color="auto"/>
            <w:bottom w:val="none" w:sz="0" w:space="0" w:color="auto"/>
            <w:right w:val="none" w:sz="0" w:space="0" w:color="auto"/>
          </w:divBdr>
        </w:div>
        <w:div w:id="776564168">
          <w:marLeft w:val="1166"/>
          <w:marRight w:val="0"/>
          <w:marTop w:val="86"/>
          <w:marBottom w:val="0"/>
          <w:divBdr>
            <w:top w:val="none" w:sz="0" w:space="0" w:color="auto"/>
            <w:left w:val="none" w:sz="0" w:space="0" w:color="auto"/>
            <w:bottom w:val="none" w:sz="0" w:space="0" w:color="auto"/>
            <w:right w:val="none" w:sz="0" w:space="0" w:color="auto"/>
          </w:divBdr>
        </w:div>
        <w:div w:id="1010106791">
          <w:marLeft w:val="1166"/>
          <w:marRight w:val="0"/>
          <w:marTop w:val="86"/>
          <w:marBottom w:val="0"/>
          <w:divBdr>
            <w:top w:val="none" w:sz="0" w:space="0" w:color="auto"/>
            <w:left w:val="none" w:sz="0" w:space="0" w:color="auto"/>
            <w:bottom w:val="none" w:sz="0" w:space="0" w:color="auto"/>
            <w:right w:val="none" w:sz="0" w:space="0" w:color="auto"/>
          </w:divBdr>
        </w:div>
        <w:div w:id="1843737611">
          <w:marLeft w:val="1166"/>
          <w:marRight w:val="0"/>
          <w:marTop w:val="86"/>
          <w:marBottom w:val="0"/>
          <w:divBdr>
            <w:top w:val="none" w:sz="0" w:space="0" w:color="auto"/>
            <w:left w:val="none" w:sz="0" w:space="0" w:color="auto"/>
            <w:bottom w:val="none" w:sz="0" w:space="0" w:color="auto"/>
            <w:right w:val="none" w:sz="0" w:space="0" w:color="auto"/>
          </w:divBdr>
        </w:div>
        <w:div w:id="1194072287">
          <w:marLeft w:val="1166"/>
          <w:marRight w:val="0"/>
          <w:marTop w:val="86"/>
          <w:marBottom w:val="0"/>
          <w:divBdr>
            <w:top w:val="none" w:sz="0" w:space="0" w:color="auto"/>
            <w:left w:val="none" w:sz="0" w:space="0" w:color="auto"/>
            <w:bottom w:val="none" w:sz="0" w:space="0" w:color="auto"/>
            <w:right w:val="none" w:sz="0" w:space="0" w:color="auto"/>
          </w:divBdr>
        </w:div>
      </w:divsChild>
    </w:div>
    <w:div w:id="647247651">
      <w:bodyDiv w:val="1"/>
      <w:marLeft w:val="0"/>
      <w:marRight w:val="0"/>
      <w:marTop w:val="0"/>
      <w:marBottom w:val="0"/>
      <w:divBdr>
        <w:top w:val="none" w:sz="0" w:space="0" w:color="auto"/>
        <w:left w:val="none" w:sz="0" w:space="0" w:color="auto"/>
        <w:bottom w:val="none" w:sz="0" w:space="0" w:color="auto"/>
        <w:right w:val="none" w:sz="0" w:space="0" w:color="auto"/>
      </w:divBdr>
      <w:divsChild>
        <w:div w:id="1138113821">
          <w:marLeft w:val="1166"/>
          <w:marRight w:val="0"/>
          <w:marTop w:val="77"/>
          <w:marBottom w:val="0"/>
          <w:divBdr>
            <w:top w:val="none" w:sz="0" w:space="0" w:color="auto"/>
            <w:left w:val="none" w:sz="0" w:space="0" w:color="auto"/>
            <w:bottom w:val="none" w:sz="0" w:space="0" w:color="auto"/>
            <w:right w:val="none" w:sz="0" w:space="0" w:color="auto"/>
          </w:divBdr>
        </w:div>
        <w:div w:id="1278756814">
          <w:marLeft w:val="1800"/>
          <w:marRight w:val="0"/>
          <w:marTop w:val="77"/>
          <w:marBottom w:val="0"/>
          <w:divBdr>
            <w:top w:val="none" w:sz="0" w:space="0" w:color="auto"/>
            <w:left w:val="none" w:sz="0" w:space="0" w:color="auto"/>
            <w:bottom w:val="none" w:sz="0" w:space="0" w:color="auto"/>
            <w:right w:val="none" w:sz="0" w:space="0" w:color="auto"/>
          </w:divBdr>
        </w:div>
        <w:div w:id="1385107001">
          <w:marLeft w:val="1800"/>
          <w:marRight w:val="0"/>
          <w:marTop w:val="77"/>
          <w:marBottom w:val="0"/>
          <w:divBdr>
            <w:top w:val="none" w:sz="0" w:space="0" w:color="auto"/>
            <w:left w:val="none" w:sz="0" w:space="0" w:color="auto"/>
            <w:bottom w:val="none" w:sz="0" w:space="0" w:color="auto"/>
            <w:right w:val="none" w:sz="0" w:space="0" w:color="auto"/>
          </w:divBdr>
        </w:div>
        <w:div w:id="1198003953">
          <w:marLeft w:val="1800"/>
          <w:marRight w:val="0"/>
          <w:marTop w:val="77"/>
          <w:marBottom w:val="0"/>
          <w:divBdr>
            <w:top w:val="none" w:sz="0" w:space="0" w:color="auto"/>
            <w:left w:val="none" w:sz="0" w:space="0" w:color="auto"/>
            <w:bottom w:val="none" w:sz="0" w:space="0" w:color="auto"/>
            <w:right w:val="none" w:sz="0" w:space="0" w:color="auto"/>
          </w:divBdr>
        </w:div>
        <w:div w:id="1184586408">
          <w:marLeft w:val="1800"/>
          <w:marRight w:val="0"/>
          <w:marTop w:val="77"/>
          <w:marBottom w:val="0"/>
          <w:divBdr>
            <w:top w:val="none" w:sz="0" w:space="0" w:color="auto"/>
            <w:left w:val="none" w:sz="0" w:space="0" w:color="auto"/>
            <w:bottom w:val="none" w:sz="0" w:space="0" w:color="auto"/>
            <w:right w:val="none" w:sz="0" w:space="0" w:color="auto"/>
          </w:divBdr>
        </w:div>
        <w:div w:id="1680542035">
          <w:marLeft w:val="1800"/>
          <w:marRight w:val="0"/>
          <w:marTop w:val="77"/>
          <w:marBottom w:val="0"/>
          <w:divBdr>
            <w:top w:val="none" w:sz="0" w:space="0" w:color="auto"/>
            <w:left w:val="none" w:sz="0" w:space="0" w:color="auto"/>
            <w:bottom w:val="none" w:sz="0" w:space="0" w:color="auto"/>
            <w:right w:val="none" w:sz="0" w:space="0" w:color="auto"/>
          </w:divBdr>
        </w:div>
        <w:div w:id="1345592941">
          <w:marLeft w:val="1166"/>
          <w:marRight w:val="0"/>
          <w:marTop w:val="77"/>
          <w:marBottom w:val="0"/>
          <w:divBdr>
            <w:top w:val="none" w:sz="0" w:space="0" w:color="auto"/>
            <w:left w:val="none" w:sz="0" w:space="0" w:color="auto"/>
            <w:bottom w:val="none" w:sz="0" w:space="0" w:color="auto"/>
            <w:right w:val="none" w:sz="0" w:space="0" w:color="auto"/>
          </w:divBdr>
        </w:div>
        <w:div w:id="7484357">
          <w:marLeft w:val="1166"/>
          <w:marRight w:val="0"/>
          <w:marTop w:val="77"/>
          <w:marBottom w:val="0"/>
          <w:divBdr>
            <w:top w:val="none" w:sz="0" w:space="0" w:color="auto"/>
            <w:left w:val="none" w:sz="0" w:space="0" w:color="auto"/>
            <w:bottom w:val="none" w:sz="0" w:space="0" w:color="auto"/>
            <w:right w:val="none" w:sz="0" w:space="0" w:color="auto"/>
          </w:divBdr>
        </w:div>
      </w:divsChild>
    </w:div>
    <w:div w:id="685718369">
      <w:bodyDiv w:val="1"/>
      <w:marLeft w:val="0"/>
      <w:marRight w:val="0"/>
      <w:marTop w:val="0"/>
      <w:marBottom w:val="0"/>
      <w:divBdr>
        <w:top w:val="none" w:sz="0" w:space="0" w:color="auto"/>
        <w:left w:val="none" w:sz="0" w:space="0" w:color="auto"/>
        <w:bottom w:val="none" w:sz="0" w:space="0" w:color="auto"/>
        <w:right w:val="none" w:sz="0" w:space="0" w:color="auto"/>
      </w:divBdr>
      <w:divsChild>
        <w:div w:id="1611815043">
          <w:marLeft w:val="0"/>
          <w:marRight w:val="0"/>
          <w:marTop w:val="0"/>
          <w:marBottom w:val="0"/>
          <w:divBdr>
            <w:top w:val="none" w:sz="0" w:space="0" w:color="auto"/>
            <w:left w:val="none" w:sz="0" w:space="0" w:color="auto"/>
            <w:bottom w:val="none" w:sz="0" w:space="0" w:color="auto"/>
            <w:right w:val="none" w:sz="0" w:space="0" w:color="auto"/>
          </w:divBdr>
        </w:div>
        <w:div w:id="1196773232">
          <w:marLeft w:val="0"/>
          <w:marRight w:val="0"/>
          <w:marTop w:val="0"/>
          <w:marBottom w:val="0"/>
          <w:divBdr>
            <w:top w:val="none" w:sz="0" w:space="0" w:color="auto"/>
            <w:left w:val="none" w:sz="0" w:space="0" w:color="auto"/>
            <w:bottom w:val="none" w:sz="0" w:space="0" w:color="auto"/>
            <w:right w:val="none" w:sz="0" w:space="0" w:color="auto"/>
          </w:divBdr>
        </w:div>
      </w:divsChild>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77912955">
      <w:bodyDiv w:val="1"/>
      <w:marLeft w:val="0"/>
      <w:marRight w:val="0"/>
      <w:marTop w:val="0"/>
      <w:marBottom w:val="0"/>
      <w:divBdr>
        <w:top w:val="none" w:sz="0" w:space="0" w:color="auto"/>
        <w:left w:val="none" w:sz="0" w:space="0" w:color="auto"/>
        <w:bottom w:val="none" w:sz="0" w:space="0" w:color="auto"/>
        <w:right w:val="none" w:sz="0" w:space="0" w:color="auto"/>
      </w:divBdr>
      <w:divsChild>
        <w:div w:id="389696482">
          <w:marLeft w:val="360"/>
          <w:marRight w:val="0"/>
          <w:marTop w:val="200"/>
          <w:marBottom w:val="0"/>
          <w:divBdr>
            <w:top w:val="none" w:sz="0" w:space="0" w:color="auto"/>
            <w:left w:val="none" w:sz="0" w:space="0" w:color="auto"/>
            <w:bottom w:val="none" w:sz="0" w:space="0" w:color="auto"/>
            <w:right w:val="none" w:sz="0" w:space="0" w:color="auto"/>
          </w:divBdr>
        </w:div>
      </w:divsChild>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952246362">
      <w:bodyDiv w:val="1"/>
      <w:marLeft w:val="0"/>
      <w:marRight w:val="0"/>
      <w:marTop w:val="0"/>
      <w:marBottom w:val="0"/>
      <w:divBdr>
        <w:top w:val="none" w:sz="0" w:space="0" w:color="auto"/>
        <w:left w:val="none" w:sz="0" w:space="0" w:color="auto"/>
        <w:bottom w:val="none" w:sz="0" w:space="0" w:color="auto"/>
        <w:right w:val="none" w:sz="0" w:space="0" w:color="auto"/>
      </w:divBdr>
      <w:divsChild>
        <w:div w:id="1325355907">
          <w:marLeft w:val="0"/>
          <w:marRight w:val="0"/>
          <w:marTop w:val="0"/>
          <w:marBottom w:val="0"/>
          <w:divBdr>
            <w:top w:val="none" w:sz="0" w:space="0" w:color="auto"/>
            <w:left w:val="none" w:sz="0" w:space="0" w:color="auto"/>
            <w:bottom w:val="none" w:sz="0" w:space="0" w:color="auto"/>
            <w:right w:val="none" w:sz="0" w:space="0" w:color="auto"/>
          </w:divBdr>
        </w:div>
        <w:div w:id="1886988839">
          <w:marLeft w:val="0"/>
          <w:marRight w:val="0"/>
          <w:marTop w:val="0"/>
          <w:marBottom w:val="0"/>
          <w:divBdr>
            <w:top w:val="none" w:sz="0" w:space="0" w:color="auto"/>
            <w:left w:val="none" w:sz="0" w:space="0" w:color="auto"/>
            <w:bottom w:val="none" w:sz="0" w:space="0" w:color="auto"/>
            <w:right w:val="none" w:sz="0" w:space="0" w:color="auto"/>
          </w:divBdr>
        </w:div>
      </w:divsChild>
    </w:div>
    <w:div w:id="1251348199">
      <w:bodyDiv w:val="1"/>
      <w:marLeft w:val="0"/>
      <w:marRight w:val="0"/>
      <w:marTop w:val="0"/>
      <w:marBottom w:val="0"/>
      <w:divBdr>
        <w:top w:val="none" w:sz="0" w:space="0" w:color="auto"/>
        <w:left w:val="none" w:sz="0" w:space="0" w:color="auto"/>
        <w:bottom w:val="none" w:sz="0" w:space="0" w:color="auto"/>
        <w:right w:val="none" w:sz="0" w:space="0" w:color="auto"/>
      </w:divBdr>
      <w:divsChild>
        <w:div w:id="1306399635">
          <w:marLeft w:val="1166"/>
          <w:marRight w:val="0"/>
          <w:marTop w:val="86"/>
          <w:marBottom w:val="0"/>
          <w:divBdr>
            <w:top w:val="none" w:sz="0" w:space="0" w:color="auto"/>
            <w:left w:val="none" w:sz="0" w:space="0" w:color="auto"/>
            <w:bottom w:val="none" w:sz="0" w:space="0" w:color="auto"/>
            <w:right w:val="none" w:sz="0" w:space="0" w:color="auto"/>
          </w:divBdr>
        </w:div>
        <w:div w:id="1565530071">
          <w:marLeft w:val="1166"/>
          <w:marRight w:val="0"/>
          <w:marTop w:val="86"/>
          <w:marBottom w:val="0"/>
          <w:divBdr>
            <w:top w:val="none" w:sz="0" w:space="0" w:color="auto"/>
            <w:left w:val="none" w:sz="0" w:space="0" w:color="auto"/>
            <w:bottom w:val="none" w:sz="0" w:space="0" w:color="auto"/>
            <w:right w:val="none" w:sz="0" w:space="0" w:color="auto"/>
          </w:divBdr>
        </w:div>
        <w:div w:id="549658433">
          <w:marLeft w:val="1166"/>
          <w:marRight w:val="0"/>
          <w:marTop w:val="86"/>
          <w:marBottom w:val="0"/>
          <w:divBdr>
            <w:top w:val="none" w:sz="0" w:space="0" w:color="auto"/>
            <w:left w:val="none" w:sz="0" w:space="0" w:color="auto"/>
            <w:bottom w:val="none" w:sz="0" w:space="0" w:color="auto"/>
            <w:right w:val="none" w:sz="0" w:space="0" w:color="auto"/>
          </w:divBdr>
        </w:div>
        <w:div w:id="1112941987">
          <w:marLeft w:val="1166"/>
          <w:marRight w:val="0"/>
          <w:marTop w:val="86"/>
          <w:marBottom w:val="0"/>
          <w:divBdr>
            <w:top w:val="none" w:sz="0" w:space="0" w:color="auto"/>
            <w:left w:val="none" w:sz="0" w:space="0" w:color="auto"/>
            <w:bottom w:val="none" w:sz="0" w:space="0" w:color="auto"/>
            <w:right w:val="none" w:sz="0" w:space="0" w:color="auto"/>
          </w:divBdr>
        </w:div>
        <w:div w:id="1417358498">
          <w:marLeft w:val="1166"/>
          <w:marRight w:val="0"/>
          <w:marTop w:val="86"/>
          <w:marBottom w:val="0"/>
          <w:divBdr>
            <w:top w:val="none" w:sz="0" w:space="0" w:color="auto"/>
            <w:left w:val="none" w:sz="0" w:space="0" w:color="auto"/>
            <w:bottom w:val="none" w:sz="0" w:space="0" w:color="auto"/>
            <w:right w:val="none" w:sz="0" w:space="0" w:color="auto"/>
          </w:divBdr>
        </w:div>
      </w:divsChild>
    </w:div>
    <w:div w:id="1351689176">
      <w:bodyDiv w:val="1"/>
      <w:marLeft w:val="0"/>
      <w:marRight w:val="0"/>
      <w:marTop w:val="0"/>
      <w:marBottom w:val="0"/>
      <w:divBdr>
        <w:top w:val="none" w:sz="0" w:space="0" w:color="auto"/>
        <w:left w:val="none" w:sz="0" w:space="0" w:color="auto"/>
        <w:bottom w:val="none" w:sz="0" w:space="0" w:color="auto"/>
        <w:right w:val="none" w:sz="0" w:space="0" w:color="auto"/>
      </w:divBdr>
    </w:div>
    <w:div w:id="1389302927">
      <w:bodyDiv w:val="1"/>
      <w:marLeft w:val="0"/>
      <w:marRight w:val="0"/>
      <w:marTop w:val="0"/>
      <w:marBottom w:val="0"/>
      <w:divBdr>
        <w:top w:val="none" w:sz="0" w:space="0" w:color="auto"/>
        <w:left w:val="none" w:sz="0" w:space="0" w:color="auto"/>
        <w:bottom w:val="none" w:sz="0" w:space="0" w:color="auto"/>
        <w:right w:val="none" w:sz="0" w:space="0" w:color="auto"/>
      </w:divBdr>
      <w:divsChild>
        <w:div w:id="1317607345">
          <w:marLeft w:val="0"/>
          <w:marRight w:val="0"/>
          <w:marTop w:val="0"/>
          <w:marBottom w:val="0"/>
          <w:divBdr>
            <w:top w:val="none" w:sz="0" w:space="0" w:color="auto"/>
            <w:left w:val="none" w:sz="0" w:space="0" w:color="auto"/>
            <w:bottom w:val="none" w:sz="0" w:space="0" w:color="auto"/>
            <w:right w:val="none" w:sz="0" w:space="0" w:color="auto"/>
          </w:divBdr>
        </w:div>
        <w:div w:id="1674606874">
          <w:marLeft w:val="0"/>
          <w:marRight w:val="0"/>
          <w:marTop w:val="0"/>
          <w:marBottom w:val="0"/>
          <w:divBdr>
            <w:top w:val="none" w:sz="0" w:space="0" w:color="auto"/>
            <w:left w:val="none" w:sz="0" w:space="0" w:color="auto"/>
            <w:bottom w:val="none" w:sz="0" w:space="0" w:color="auto"/>
            <w:right w:val="none" w:sz="0" w:space="0" w:color="auto"/>
          </w:divBdr>
        </w:div>
        <w:div w:id="2060664361">
          <w:marLeft w:val="0"/>
          <w:marRight w:val="0"/>
          <w:marTop w:val="0"/>
          <w:marBottom w:val="0"/>
          <w:divBdr>
            <w:top w:val="none" w:sz="0" w:space="0" w:color="auto"/>
            <w:left w:val="none" w:sz="0" w:space="0" w:color="auto"/>
            <w:bottom w:val="none" w:sz="0" w:space="0" w:color="auto"/>
            <w:right w:val="none" w:sz="0" w:space="0" w:color="auto"/>
          </w:divBdr>
        </w:div>
      </w:divsChild>
    </w:div>
    <w:div w:id="1675720980">
      <w:bodyDiv w:val="1"/>
      <w:marLeft w:val="0"/>
      <w:marRight w:val="0"/>
      <w:marTop w:val="0"/>
      <w:marBottom w:val="0"/>
      <w:divBdr>
        <w:top w:val="none" w:sz="0" w:space="0" w:color="auto"/>
        <w:left w:val="none" w:sz="0" w:space="0" w:color="auto"/>
        <w:bottom w:val="none" w:sz="0" w:space="0" w:color="auto"/>
        <w:right w:val="none" w:sz="0" w:space="0" w:color="auto"/>
      </w:divBdr>
      <w:divsChild>
        <w:div w:id="361781146">
          <w:marLeft w:val="0"/>
          <w:marRight w:val="0"/>
          <w:marTop w:val="0"/>
          <w:marBottom w:val="0"/>
          <w:divBdr>
            <w:top w:val="none" w:sz="0" w:space="0" w:color="auto"/>
            <w:left w:val="none" w:sz="0" w:space="0" w:color="auto"/>
            <w:bottom w:val="none" w:sz="0" w:space="0" w:color="auto"/>
            <w:right w:val="none" w:sz="0" w:space="0" w:color="auto"/>
          </w:divBdr>
        </w:div>
        <w:div w:id="1605923758">
          <w:marLeft w:val="0"/>
          <w:marRight w:val="0"/>
          <w:marTop w:val="0"/>
          <w:marBottom w:val="0"/>
          <w:divBdr>
            <w:top w:val="none" w:sz="0" w:space="0" w:color="auto"/>
            <w:left w:val="none" w:sz="0" w:space="0" w:color="auto"/>
            <w:bottom w:val="none" w:sz="0" w:space="0" w:color="auto"/>
            <w:right w:val="none" w:sz="0" w:space="0" w:color="auto"/>
          </w:divBdr>
        </w:div>
        <w:div w:id="365644687">
          <w:marLeft w:val="0"/>
          <w:marRight w:val="0"/>
          <w:marTop w:val="0"/>
          <w:marBottom w:val="0"/>
          <w:divBdr>
            <w:top w:val="none" w:sz="0" w:space="0" w:color="auto"/>
            <w:left w:val="none" w:sz="0" w:space="0" w:color="auto"/>
            <w:bottom w:val="none" w:sz="0" w:space="0" w:color="auto"/>
            <w:right w:val="none" w:sz="0" w:space="0" w:color="auto"/>
          </w:divBdr>
        </w:div>
        <w:div w:id="1314220787">
          <w:marLeft w:val="0"/>
          <w:marRight w:val="0"/>
          <w:marTop w:val="0"/>
          <w:marBottom w:val="0"/>
          <w:divBdr>
            <w:top w:val="none" w:sz="0" w:space="0" w:color="auto"/>
            <w:left w:val="none" w:sz="0" w:space="0" w:color="auto"/>
            <w:bottom w:val="none" w:sz="0" w:space="0" w:color="auto"/>
            <w:right w:val="none" w:sz="0" w:space="0" w:color="auto"/>
          </w:divBdr>
        </w:div>
        <w:div w:id="383022775">
          <w:marLeft w:val="0"/>
          <w:marRight w:val="0"/>
          <w:marTop w:val="0"/>
          <w:marBottom w:val="0"/>
          <w:divBdr>
            <w:top w:val="none" w:sz="0" w:space="0" w:color="auto"/>
            <w:left w:val="none" w:sz="0" w:space="0" w:color="auto"/>
            <w:bottom w:val="none" w:sz="0" w:space="0" w:color="auto"/>
            <w:right w:val="none" w:sz="0" w:space="0" w:color="auto"/>
          </w:divBdr>
        </w:div>
        <w:div w:id="122306400">
          <w:marLeft w:val="0"/>
          <w:marRight w:val="0"/>
          <w:marTop w:val="0"/>
          <w:marBottom w:val="0"/>
          <w:divBdr>
            <w:top w:val="none" w:sz="0" w:space="0" w:color="auto"/>
            <w:left w:val="none" w:sz="0" w:space="0" w:color="auto"/>
            <w:bottom w:val="none" w:sz="0" w:space="0" w:color="auto"/>
            <w:right w:val="none" w:sz="0" w:space="0" w:color="auto"/>
          </w:divBdr>
        </w:div>
      </w:divsChild>
    </w:div>
    <w:div w:id="1746104121">
      <w:bodyDiv w:val="1"/>
      <w:marLeft w:val="0"/>
      <w:marRight w:val="0"/>
      <w:marTop w:val="0"/>
      <w:marBottom w:val="0"/>
      <w:divBdr>
        <w:top w:val="none" w:sz="0" w:space="0" w:color="auto"/>
        <w:left w:val="none" w:sz="0" w:space="0" w:color="auto"/>
        <w:bottom w:val="none" w:sz="0" w:space="0" w:color="auto"/>
        <w:right w:val="none" w:sz="0" w:space="0" w:color="auto"/>
      </w:divBdr>
      <w:divsChild>
        <w:div w:id="2019770068">
          <w:marLeft w:val="1166"/>
          <w:marRight w:val="0"/>
          <w:marTop w:val="86"/>
          <w:marBottom w:val="0"/>
          <w:divBdr>
            <w:top w:val="none" w:sz="0" w:space="0" w:color="auto"/>
            <w:left w:val="none" w:sz="0" w:space="0" w:color="auto"/>
            <w:bottom w:val="none" w:sz="0" w:space="0" w:color="auto"/>
            <w:right w:val="none" w:sz="0" w:space="0" w:color="auto"/>
          </w:divBdr>
        </w:div>
      </w:divsChild>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775706104">
      <w:bodyDiv w:val="1"/>
      <w:marLeft w:val="0"/>
      <w:marRight w:val="0"/>
      <w:marTop w:val="0"/>
      <w:marBottom w:val="0"/>
      <w:divBdr>
        <w:top w:val="none" w:sz="0" w:space="0" w:color="auto"/>
        <w:left w:val="none" w:sz="0" w:space="0" w:color="auto"/>
        <w:bottom w:val="none" w:sz="0" w:space="0" w:color="auto"/>
        <w:right w:val="none" w:sz="0" w:space="0" w:color="auto"/>
      </w:divBdr>
      <w:divsChild>
        <w:div w:id="1125123780">
          <w:marLeft w:val="1166"/>
          <w:marRight w:val="0"/>
          <w:marTop w:val="77"/>
          <w:marBottom w:val="0"/>
          <w:divBdr>
            <w:top w:val="none" w:sz="0" w:space="0" w:color="auto"/>
            <w:left w:val="none" w:sz="0" w:space="0" w:color="auto"/>
            <w:bottom w:val="none" w:sz="0" w:space="0" w:color="auto"/>
            <w:right w:val="none" w:sz="0" w:space="0" w:color="auto"/>
          </w:divBdr>
        </w:div>
        <w:div w:id="2026596018">
          <w:marLeft w:val="1166"/>
          <w:marRight w:val="0"/>
          <w:marTop w:val="77"/>
          <w:marBottom w:val="0"/>
          <w:divBdr>
            <w:top w:val="none" w:sz="0" w:space="0" w:color="auto"/>
            <w:left w:val="none" w:sz="0" w:space="0" w:color="auto"/>
            <w:bottom w:val="none" w:sz="0" w:space="0" w:color="auto"/>
            <w:right w:val="none" w:sz="0" w:space="0" w:color="auto"/>
          </w:divBdr>
        </w:div>
      </w:divsChild>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 w:id="1957175933">
      <w:bodyDiv w:val="1"/>
      <w:marLeft w:val="0"/>
      <w:marRight w:val="0"/>
      <w:marTop w:val="0"/>
      <w:marBottom w:val="0"/>
      <w:divBdr>
        <w:top w:val="none" w:sz="0" w:space="0" w:color="auto"/>
        <w:left w:val="none" w:sz="0" w:space="0" w:color="auto"/>
        <w:bottom w:val="none" w:sz="0" w:space="0" w:color="auto"/>
        <w:right w:val="none" w:sz="0" w:space="0" w:color="auto"/>
      </w:divBdr>
      <w:divsChild>
        <w:div w:id="684136894">
          <w:marLeft w:val="1166"/>
          <w:marRight w:val="0"/>
          <w:marTop w:val="86"/>
          <w:marBottom w:val="0"/>
          <w:divBdr>
            <w:top w:val="none" w:sz="0" w:space="0" w:color="auto"/>
            <w:left w:val="none" w:sz="0" w:space="0" w:color="auto"/>
            <w:bottom w:val="none" w:sz="0" w:space="0" w:color="auto"/>
            <w:right w:val="none" w:sz="0" w:space="0" w:color="auto"/>
          </w:divBdr>
        </w:div>
        <w:div w:id="2058578382">
          <w:marLeft w:val="1166"/>
          <w:marRight w:val="0"/>
          <w:marTop w:val="86"/>
          <w:marBottom w:val="0"/>
          <w:divBdr>
            <w:top w:val="none" w:sz="0" w:space="0" w:color="auto"/>
            <w:left w:val="none" w:sz="0" w:space="0" w:color="auto"/>
            <w:bottom w:val="none" w:sz="0" w:space="0" w:color="auto"/>
            <w:right w:val="none" w:sz="0" w:space="0" w:color="auto"/>
          </w:divBdr>
        </w:div>
        <w:div w:id="845751281">
          <w:marLeft w:val="1166"/>
          <w:marRight w:val="0"/>
          <w:marTop w:val="86"/>
          <w:marBottom w:val="0"/>
          <w:divBdr>
            <w:top w:val="none" w:sz="0" w:space="0" w:color="auto"/>
            <w:left w:val="none" w:sz="0" w:space="0" w:color="auto"/>
            <w:bottom w:val="none" w:sz="0" w:space="0" w:color="auto"/>
            <w:right w:val="none" w:sz="0" w:space="0" w:color="auto"/>
          </w:divBdr>
        </w:div>
        <w:div w:id="114107585">
          <w:marLeft w:val="1166"/>
          <w:marRight w:val="0"/>
          <w:marTop w:val="86"/>
          <w:marBottom w:val="0"/>
          <w:divBdr>
            <w:top w:val="none" w:sz="0" w:space="0" w:color="auto"/>
            <w:left w:val="none" w:sz="0" w:space="0" w:color="auto"/>
            <w:bottom w:val="none" w:sz="0" w:space="0" w:color="auto"/>
            <w:right w:val="none" w:sz="0" w:space="0" w:color="auto"/>
          </w:divBdr>
        </w:div>
        <w:div w:id="2046127805">
          <w:marLeft w:val="1166"/>
          <w:marRight w:val="0"/>
          <w:marTop w:val="86"/>
          <w:marBottom w:val="0"/>
          <w:divBdr>
            <w:top w:val="none" w:sz="0" w:space="0" w:color="auto"/>
            <w:left w:val="none" w:sz="0" w:space="0" w:color="auto"/>
            <w:bottom w:val="none" w:sz="0" w:space="0" w:color="auto"/>
            <w:right w:val="none" w:sz="0" w:space="0" w:color="auto"/>
          </w:divBdr>
        </w:div>
        <w:div w:id="677197163">
          <w:marLeft w:val="1166"/>
          <w:marRight w:val="0"/>
          <w:marTop w:val="86"/>
          <w:marBottom w:val="0"/>
          <w:divBdr>
            <w:top w:val="none" w:sz="0" w:space="0" w:color="auto"/>
            <w:left w:val="none" w:sz="0" w:space="0" w:color="auto"/>
            <w:bottom w:val="none" w:sz="0" w:space="0" w:color="auto"/>
            <w:right w:val="none" w:sz="0" w:space="0" w:color="auto"/>
          </w:divBdr>
        </w:div>
      </w:divsChild>
    </w:div>
    <w:div w:id="2013288831">
      <w:bodyDiv w:val="1"/>
      <w:marLeft w:val="0"/>
      <w:marRight w:val="0"/>
      <w:marTop w:val="0"/>
      <w:marBottom w:val="0"/>
      <w:divBdr>
        <w:top w:val="none" w:sz="0" w:space="0" w:color="auto"/>
        <w:left w:val="none" w:sz="0" w:space="0" w:color="auto"/>
        <w:bottom w:val="none" w:sz="0" w:space="0" w:color="auto"/>
        <w:right w:val="none" w:sz="0" w:space="0" w:color="auto"/>
      </w:divBdr>
      <w:divsChild>
        <w:div w:id="1203594755">
          <w:marLeft w:val="1166"/>
          <w:marRight w:val="0"/>
          <w:marTop w:val="86"/>
          <w:marBottom w:val="0"/>
          <w:divBdr>
            <w:top w:val="none" w:sz="0" w:space="0" w:color="auto"/>
            <w:left w:val="none" w:sz="0" w:space="0" w:color="auto"/>
            <w:bottom w:val="none" w:sz="0" w:space="0" w:color="auto"/>
            <w:right w:val="none" w:sz="0" w:space="0" w:color="auto"/>
          </w:divBdr>
        </w:div>
        <w:div w:id="958343408">
          <w:marLeft w:val="1800"/>
          <w:marRight w:val="0"/>
          <w:marTop w:val="86"/>
          <w:marBottom w:val="0"/>
          <w:divBdr>
            <w:top w:val="none" w:sz="0" w:space="0" w:color="auto"/>
            <w:left w:val="none" w:sz="0" w:space="0" w:color="auto"/>
            <w:bottom w:val="none" w:sz="0" w:space="0" w:color="auto"/>
            <w:right w:val="none" w:sz="0" w:space="0" w:color="auto"/>
          </w:divBdr>
        </w:div>
        <w:div w:id="1904631657">
          <w:marLeft w:val="1800"/>
          <w:marRight w:val="0"/>
          <w:marTop w:val="86"/>
          <w:marBottom w:val="0"/>
          <w:divBdr>
            <w:top w:val="none" w:sz="0" w:space="0" w:color="auto"/>
            <w:left w:val="none" w:sz="0" w:space="0" w:color="auto"/>
            <w:bottom w:val="none" w:sz="0" w:space="0" w:color="auto"/>
            <w:right w:val="none" w:sz="0" w:space="0" w:color="auto"/>
          </w:divBdr>
        </w:div>
        <w:div w:id="1260796345">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4.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TDoc.dot</Template>
  <TotalTime>0</TotalTime>
  <Pages>6</Pages>
  <Words>2799</Words>
  <Characters>15955</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18717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Ozcan Ozturk</cp:lastModifiedBy>
  <cp:revision>2</cp:revision>
  <dcterms:created xsi:type="dcterms:W3CDTF">2023-08-11T00:15:00Z</dcterms:created>
  <dcterms:modified xsi:type="dcterms:W3CDTF">2023-08-11T00:15:00Z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